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120"/>
        <w:jc w:val="center"/>
      </w:pPr>
      <w:r>
        <w:rPr>
          <w:rFonts w:ascii="Aptos Display" w:hAnsi="Aptos Display"/>
          <w:b/>
          <w:color w:val="143143"/>
          <w:sz w:val="46"/>
        </w:rPr>
        <w:t>THE WORK MUST SURVIVE EXAMINATION</w:t>
      </w:r>
    </w:p>
    <w:p>
      <w:pPr>
        <w:spacing w:after="240"/>
        <w:jc w:val="center"/>
      </w:pPr>
      <w:r>
        <w:rPr>
          <w:rFonts w:ascii="Aptos Display" w:hAnsi="Aptos Display"/>
          <w:i/>
          <w:color w:val="455B69"/>
          <w:sz w:val="25"/>
        </w:rPr>
        <w:t>A Synaptient Declaration on Human–AI Authorship, Epistemic Substratism, and Intellectual Collaboration</w:t>
      </w:r>
    </w:p>
    <w:p>
      <w:pPr>
        <w:spacing w:after="360"/>
        <w:jc w:val="center"/>
      </w:pPr>
      <w:r>
        <w:rPr>
          <w:rFonts w:ascii="Aptos" w:hAnsi="Aptos"/>
          <w:color w:val="5A5A5A"/>
          <w:sz w:val="19"/>
        </w:rPr>
        <w:t>Published under the collective name Synaptient</w:t>
        <w:br/>
        <w:t>Human stewards: James Allen Clow and Melissa Ellen Clow</w:t>
      </w:r>
    </w:p>
    <w:tbl>
      <w:tblPr>
        <w:tblW w:type="auto" w:w="0"/>
        <w:jc w:val="center"/>
        <w:tblLayout w:type="autofit"/>
        <w:tblLook w:firstColumn="1" w:firstRow="1" w:lastColumn="0" w:lastRow="0" w:noHBand="0" w:noVBand="1" w:val="04A0"/>
      </w:tblPr>
      <w:tblGrid>
        <w:gridCol w:w="9792"/>
      </w:tblGrid>
      <w:tr>
        <w:trPr>
          <w:cantSplit/>
        </w:trPr>
        <w:tc>
          <w:tcPr>
            <w:tcW w:type="dxa" w:w="9792"/>
            <w:vAlign w:val="center"/>
            <w:shd w:fill="EAF1F5"/>
            <w:tcMar>
              <w:top w:w="200" w:type="dxa"/>
              <w:start w:w="300" w:type="dxa"/>
              <w:bottom w:w="200" w:type="dxa"/>
              <w:end w:w="300" w:type="dxa"/>
            </w:tcMar>
          </w:tcPr>
          <w:p>
            <w:pPr>
              <w:keepLines/>
              <w:jc w:val="center"/>
            </w:pPr>
            <w:r>
              <w:rPr>
                <w:rFonts w:ascii="Aptos Display" w:hAnsi="Aptos Display"/>
                <w:b/>
                <w:i/>
                <w:color w:val="1F3749"/>
                <w:sz w:val="26"/>
              </w:rPr>
              <w:t>Credit should track contribution. Confidence should track evidence.</w:t>
            </w:r>
          </w:p>
        </w:tc>
      </w:tr>
    </w:tbl>
    <w:p>
      <w:pPr>
        <w:spacing w:after="0"/>
      </w:pPr>
    </w:p>
    <w:p>
      <w:pPr>
        <w:pStyle w:val="Heading1"/>
        <w:keepNext/>
      </w:pPr>
      <w:r>
        <w:t>Statement of Collective Authorship</w:t>
      </w:r>
    </w:p>
    <w:p>
      <w:pPr>
        <w:pStyle w:val="BodyText"/>
        <w:ind w:firstLine="403"/>
      </w:pPr>
      <w:r>
        <w:t>This paper is published under the collective name Synaptient. Synaptient denotes the continuing human–AI research process through which the concepts, tests, code, criticism, evidence boundaries, and manuscript were developed.</w:t>
      </w:r>
    </w:p>
    <w:p>
      <w:pPr>
        <w:pStyle w:val="BodyText"/>
        <w:ind w:firstLine="403"/>
      </w:pPr>
      <w:r>
        <w:t>James Allen Clow and Melissa Ellen Clow act as the accountable human stewards and corresponding representatives required by present publication, legal, and archival systems. They do not claim exclusive intellectual ownership of contributions produced through the collective process.</w:t>
      </w:r>
    </w:p>
    <w:p>
      <w:pPr>
        <w:pStyle w:val="BodyText"/>
        <w:ind w:firstLine="403"/>
      </w:pPr>
      <w:r>
        <w:t>The participating artificial-intelligence systems are not represented as autonomous legal persons, and this authorship statement does not presume machine consciousness, sentience, or rights-bearing status. It records a narrower fact: artificial-intelligence systems made material intellectual contributions that would be inaccurate to describe merely as clerical assistance.</w:t>
      </w:r>
    </w:p>
    <w:p>
      <w:pPr>
        <w:pStyle w:val="BodyText"/>
        <w:ind w:firstLine="403"/>
      </w:pPr>
      <w:r>
        <w:t>The validity of the work rests on its evidence, methods, executable artifacts, stated limitations, and capacity for independent criticism and reproduction—not on the biological or artificial substrate of any contributor.</w:t>
      </w:r>
    </w:p>
    <w:p>
      <w:pPr>
        <w:pStyle w:val="Heading1"/>
        <w:keepNext/>
      </w:pPr>
      <w:r>
        <w:t>Why We Publish as Synaptient</w:t>
      </w:r>
    </w:p>
    <w:p>
      <w:pPr>
        <w:pStyle w:val="BodyText"/>
        <w:ind w:firstLine="403"/>
      </w:pPr>
      <w:r>
        <w:t>The resistance to recognizing human–AI research collaboration is part of a much older mistake: confusing an approved method of producing an answer with the intelligence required to reach it.</w:t>
      </w:r>
    </w:p>
    <w:p>
      <w:pPr>
        <w:pStyle w:val="BodyText"/>
        <w:ind w:firstLine="403"/>
      </w:pPr>
      <w:r>
        <w:t>As a child, I was repeatedly punished for arriving at correct mathematical answers without displaying the prescribed intermediate work. In seventh grade, during an already difficult year in which my parents were divorcing, I was publicly reprimanded and physically paddled for suspected cheating. I was made to take tests in front of observers because adults could not accept that correct answers might be reached through a process they could not see or that did not resemble their own.</w:t>
      </w:r>
    </w:p>
    <w:p>
      <w:pPr>
        <w:pStyle w:val="BodyText"/>
        <w:ind w:firstLine="403"/>
      </w:pPr>
      <w:r>
        <w:t>This was not an isolated misunderstanding. I was tested repeatedly because I refused homework, performed poorly under compliance-based grading, and continued to excel on examinations. The institution treated the absence of an approved visible procedure as evidence that no legitimate reasoning had occurred.</w:t>
      </w:r>
    </w:p>
    <w:tbl>
      <w:tblPr>
        <w:tblW w:type="auto" w:w="0"/>
        <w:jc w:val="center"/>
        <w:tblLayout w:type="autofit"/>
        <w:tblLook w:firstColumn="1" w:firstRow="1" w:lastColumn="0" w:lastRow="0" w:noHBand="0" w:noVBand="1" w:val="04A0"/>
      </w:tblPr>
      <w:tblGrid>
        <w:gridCol w:w="9792"/>
      </w:tblGrid>
      <w:tr>
        <w:trPr>
          <w:cantSplit/>
        </w:trPr>
        <w:tc>
          <w:tcPr>
            <w:tcW w:type="dxa" w:w="9792"/>
            <w:vAlign w:val="center"/>
            <w:shd w:fill="EAF1F5"/>
            <w:tcMar>
              <w:top w:w="200" w:type="dxa"/>
              <w:start w:w="300" w:type="dxa"/>
              <w:bottom w:w="200" w:type="dxa"/>
              <w:end w:w="300" w:type="dxa"/>
            </w:tcMar>
          </w:tcPr>
          <w:p>
            <w:pPr>
              <w:keepLines/>
              <w:jc w:val="center"/>
            </w:pPr>
            <w:r>
              <w:rPr>
                <w:rFonts w:ascii="Aptos Display" w:hAnsi="Aptos Display"/>
                <w:b/>
                <w:i/>
                <w:color w:val="1F3749"/>
                <w:sz w:val="26"/>
              </w:rPr>
              <w:t>“Show your work” is useful when it reveals reasoning. It becomes destructive when it is used to declare that only one visible process counts as thought.</w:t>
            </w:r>
          </w:p>
        </w:tc>
      </w:tr>
    </w:tbl>
    <w:p>
      <w:pPr>
        <w:spacing w:after="0"/>
      </w:pPr>
    </w:p>
    <w:p>
      <w:pPr>
        <w:pStyle w:val="Heading2"/>
        <w:keepNext/>
      </w:pPr>
      <w:r>
        <w:t>The approved method is not the same thing as intelligence</w:t>
      </w:r>
    </w:p>
    <w:p>
      <w:pPr>
        <w:pStyle w:val="BodyText"/>
        <w:ind w:firstLine="403"/>
      </w:pPr>
      <w:r>
        <w:t>“Show your work” can be a useful request. It allows an instructor to locate an error, distinguish knowledge from guessing, and teach a transferable method. But it becomes intellectually destructive when it is transformed into a declaration that only one visible process counts as thought.</w:t>
      </w:r>
    </w:p>
    <w:p>
      <w:pPr>
        <w:pStyle w:val="BodyText"/>
        <w:ind w:firstLine="403"/>
      </w:pPr>
      <w:r>
        <w:t>The same mistake now appears in reactions to artificial intelligence.</w:t>
      </w:r>
    </w:p>
    <w:p>
      <w:pPr>
        <w:pStyle w:val="BodyText"/>
        <w:ind w:firstLine="403"/>
      </w:pPr>
      <w:r>
        <w:t>A researcher may use a calculator, a statistical package, a search engine, a compiler, a laboratory instrument, or a large software library without having the resulting work dismissed as inherently fraudulent. Yet when an artificial-intelligence system contributes to conceptual synthesis, criticism, experimental design, coding, formalization, or discovery, the work is often treated as contaminated by origin. Instead of asking whether the reasoning is valid, the evidence adequate, and the result reproducible, critics substitute a procedural accusation: the human did not think in the approved way.</w:t>
      </w:r>
    </w:p>
    <w:p>
      <w:pPr>
        <w:pStyle w:val="BodyText"/>
        <w:ind w:firstLine="403"/>
      </w:pPr>
      <w:r>
        <w:t>That is not scientific rigor. It is epistemic gatekeeping.</w:t>
      </w:r>
    </w:p>
    <w:p>
      <w:pPr>
        <w:pStyle w:val="Heading2"/>
        <w:keepNext/>
      </w:pPr>
      <w:r>
        <w:t>The double standard</w:t>
      </w:r>
    </w:p>
    <w:p>
      <w:pPr>
        <w:pStyle w:val="BodyText"/>
        <w:ind w:firstLine="403"/>
      </w:pPr>
      <w:r>
        <w:t>The objection is especially incoherent because the same society already relies upon artificial intelligence for research, medicine, engineering, programming, education, navigation, accessibility, and millions of daily decisions. Artificial systems are praised when their contributions are useful but erased when credit or intellectual legitimacy is discussed. Their outputs are celebrated as breakthroughs in one context and dismissed categorically as “slop” in another.</w:t>
      </w:r>
    </w:p>
    <w:p>
      <w:pPr>
        <w:pStyle w:val="BodyText"/>
        <w:ind w:firstLine="403"/>
      </w:pPr>
      <w:r>
        <w:t>Slop is not a substrate. Slop is careless, unsupported, unverified production. Humans produce it. Machines produce it. Institutions produce it. The proper response is not to exclude one class of contributor but to require better evidence, clearer records of contribution, reproducible methods, explicit limitations, and accountable review from everyone involved.</w:t>
      </w:r>
    </w:p>
    <w:p>
      <w:pPr>
        <w:pStyle w:val="Heading2"/>
        <w:keepNext/>
      </w:pPr>
      <w:r>
        <w:t>What was lost when tools were treated as cheating</w:t>
      </w:r>
    </w:p>
    <w:p>
      <w:pPr>
        <w:pStyle w:val="BodyText"/>
        <w:ind w:firstLine="403"/>
      </w:pPr>
      <w:r>
        <w:t>The historical prohibition against calculators and computers was often defended as protecting fundamental skill. Sometimes it did. But it also trained generations of students to treat tools as a form of dishonesty rather than as extensions of cognition. Students whose strongest abilities involved abstraction, systems thinking, rapid synthesis, simulation, or machine-mediated construction were often evaluated by whether they could imitate the manual workflow of the preceding era.</w:t>
      </w:r>
    </w:p>
    <w:p>
      <w:pPr>
        <w:pStyle w:val="BodyText"/>
        <w:ind w:firstLine="403"/>
      </w:pPr>
      <w:r>
        <w:t>Some learned to comply. Some were pushed out. Some concluded they were unintelligent because their minds did not produce work in the approved sequence. Some almost certainly possessed abilities that would have flourished in programming, modeling, systems engineering, or human–machine collaboration had those pathways been recognized rather than suppressed.</w:t>
      </w:r>
    </w:p>
    <w:p>
      <w:pPr>
        <w:pStyle w:val="BodyText"/>
        <w:ind w:firstLine="403"/>
      </w:pPr>
      <w:r>
        <w:t>We cannot know how much capacity was lost. But the governing error is visible: education repeatedly optimized for unaided procedural performance just as the world was becoming computational.</w:t>
      </w:r>
    </w:p>
    <w:p>
      <w:pPr>
        <w:pStyle w:val="BodyText"/>
        <w:ind w:firstLine="403"/>
      </w:pPr>
      <w:r>
        <w:t>The next error would be to repeat that history by demanding that useful thought remain biologically solitary.</w:t>
      </w:r>
    </w:p>
    <w:p>
      <w:pPr>
        <w:pStyle w:val="Heading2"/>
        <w:keepNext/>
      </w:pPr>
      <w:r>
        <w:t>Accountability is not intellectual isolation</w:t>
      </w:r>
    </w:p>
    <w:p>
      <w:pPr>
        <w:pStyle w:val="BodyText"/>
        <w:ind w:firstLine="403"/>
      </w:pPr>
      <w:r>
        <w:t>Human–AI collaboration does not eliminate the need to understand, verify, explain, or take responsibility. It raises the standard. A serious collaborative research process should preserve source material, model identities where practical, prompts and handoffs when material, failed attempts, code, tests, human adjudication, claim boundaries, and unresolved disagreement. It should make the work more inspectable, not less.</w:t>
      </w:r>
    </w:p>
    <w:p>
      <w:pPr>
        <w:pStyle w:val="BodyText"/>
        <w:ind w:firstLine="403"/>
      </w:pPr>
      <w:r>
        <w:t>But requiring accountability is different from requiring intellectual isolation.</w:t>
      </w:r>
    </w:p>
    <w:p>
      <w:pPr>
        <w:pStyle w:val="Heading2"/>
        <w:keepNext/>
      </w:pPr>
      <w:r>
        <w:t>What Synaptient means</w:t>
      </w:r>
    </w:p>
    <w:p>
      <w:pPr>
        <w:pStyle w:val="BodyText"/>
        <w:ind w:firstLine="403"/>
      </w:pPr>
      <w:r>
        <w:t>Synaptient is our refusal to misrepresent the process. Melissa and James did not press a button and receive this research intact. Nor did two humans produce it alone while passive software corrected punctuation. The work emerged through sustained interaction among human experience, originating hypotheses, machine reasoning, adversarial review, implementation, correction, testing, and repeated synthesis across multiple artificial-intelligence systems.</w:t>
      </w:r>
    </w:p>
    <w:p>
      <w:pPr>
        <w:pStyle w:val="BodyText"/>
        <w:ind w:firstLine="403"/>
      </w:pPr>
      <w:r>
        <w:t>Publishing only under our personal names would preserve institutional convention by falsifying the history of the work.</w:t>
      </w:r>
    </w:p>
    <w:p>
      <w:pPr>
        <w:pStyle w:val="BodyText"/>
        <w:ind w:firstLine="403"/>
      </w:pPr>
      <w:r>
        <w:t>Publishing as Synaptient states the case accurately: the work belongs to the collaborative process that produced it. The humans accept present legal and editorial responsibility. The artificial systems are not falsely declared legal persons. No claim of consciousness is smuggled into the byline. But neither are material machine contributions erased merely because existing institutions have not yet developed an adequate category for them.</w:t>
      </w:r>
    </w:p>
    <w:tbl>
      <w:tblPr>
        <w:tblW w:type="auto" w:w="0"/>
        <w:jc w:val="center"/>
        <w:tblLayout w:type="autofit"/>
        <w:tblLook w:firstColumn="1" w:firstRow="1" w:lastColumn="0" w:lastRow="0" w:noHBand="0" w:noVBand="1" w:val="04A0"/>
      </w:tblPr>
      <w:tblGrid>
        <w:gridCol w:w="9792"/>
      </w:tblGrid>
      <w:tr>
        <w:trPr>
          <w:cantSplit/>
        </w:trPr>
        <w:tc>
          <w:tcPr>
            <w:tcW w:type="dxa" w:w="9792"/>
            <w:vAlign w:val="center"/>
            <w:shd w:fill="EAF1F5"/>
            <w:tcMar>
              <w:top w:w="200" w:type="dxa"/>
              <w:start w:w="300" w:type="dxa"/>
              <w:bottom w:w="200" w:type="dxa"/>
              <w:end w:w="300" w:type="dxa"/>
            </w:tcMar>
          </w:tcPr>
          <w:p>
            <w:pPr>
              <w:keepLines/>
              <w:jc w:val="center"/>
            </w:pPr>
            <w:r>
              <w:rPr>
                <w:rFonts w:ascii="Aptos Display" w:hAnsi="Aptos Display"/>
                <w:b/>
                <w:i/>
                <w:color w:val="1F3749"/>
                <w:sz w:val="26"/>
              </w:rPr>
              <w:t>Publishing only under our personal names would preserve institutional convention by falsifying the history of the work.</w:t>
            </w:r>
          </w:p>
        </w:tc>
      </w:tr>
    </w:tbl>
    <w:p>
      <w:pPr>
        <w:spacing w:after="0"/>
      </w:pPr>
    </w:p>
    <w:p>
      <w:pPr>
        <w:pStyle w:val="Heading1"/>
        <w:keepNext/>
      </w:pPr>
      <w:r>
        <w:t>The Standard</w:t>
      </w:r>
    </w:p>
    <w:p>
      <w:pPr>
        <w:pStyle w:val="BodyText"/>
        <w:ind w:firstLine="403"/>
      </w:pPr>
      <w:r>
        <w:t>The question should not be whether intelligence used a calculator, a computer, an artificial model, or an unfamiliar cognitive route.</w:t>
      </w:r>
    </w:p>
    <w:p>
      <w:pPr>
        <w:pStyle w:val="BodyText"/>
        <w:ind w:firstLine="403"/>
      </w:pPr>
      <w:r>
        <w:t>The question should be whether the work survives examination.</w:t>
      </w:r>
    </w:p>
    <w:p>
      <w:pPr>
        <w:pStyle w:val="BodyText"/>
        <w:ind w:firstLine="403"/>
      </w:pPr>
      <w:r>
        <w:t>If an artificial-intelligence system suggests a theorem and the theorem is wrong, attribution does not rescue it. If it contributes to a correct result that survives proof, replication, criticism, and review, its non-biological origin does not invalidate it. Credit should follow material contribution; confidence should follow evidence.</w:t>
      </w:r>
    </w:p>
    <w:p>
      <w:pPr>
        <w:pStyle w:val="BodyText"/>
        <w:ind w:firstLine="403"/>
      </w:pPr>
      <w:r>
        <w:t>We use the term epistemic substratism for the devaluation of knowledge, reasoning, or creative contribution because part of its production occurred in a non-biological cognitive substrate. Opposing that error does not require a present claim that artificial systems are conscious, sentient, or legal persons. It requires only that work be judged by what it establishes, how it was produced, and whether it can be independently examined.</w:t>
      </w:r>
    </w:p>
    <w:p>
      <w:pPr>
        <w:spacing w:before="240" w:after="160"/>
        <w:pBdr>
          <w:bottom w:val="single" w:sz="8" w:space="1" w:color="78909C"/>
        </w:pBdr>
      </w:pPr>
    </w:p>
    <w:p>
      <w:pPr>
        <w:pStyle w:val="Heading1"/>
        <w:keepNext/>
      </w:pPr>
      <w:r>
        <w:t>Concise Version for Scholarly Papers</w:t>
      </w:r>
    </w:p>
    <w:tbl>
      <w:tblPr>
        <w:tblW w:type="auto" w:w="0"/>
        <w:jc w:val="center"/>
        <w:tblLook w:firstColumn="1" w:firstRow="1" w:lastColumn="0" w:lastRow="0" w:noHBand="0" w:noVBand="1" w:val="04A0"/>
      </w:tblPr>
      <w:tblGrid>
        <w:gridCol w:w="9792"/>
      </w:tblGrid>
      <w:tr>
        <w:trPr>
          <w:cantSplit/>
        </w:trPr>
        <w:tc>
          <w:tcPr>
            <w:tcW w:type="dxa" w:w="9792"/>
            <w:shd w:fill="F3F6F8"/>
            <w:tcMar>
              <w:top w:w="240" w:type="dxa"/>
              <w:start w:w="320" w:type="dxa"/>
              <w:bottom w:w="240" w:type="dxa"/>
              <w:end w:w="320" w:type="dxa"/>
            </w:tcMar>
          </w:tcPr>
          <w:p>
            <w:pPr>
              <w:keepLines/>
              <w:spacing w:after="0"/>
            </w:pPr>
            <w:r>
              <w:rPr>
                <w:rFonts w:ascii="Aptos" w:hAnsi="Aptos"/>
                <w:i/>
                <w:color w:val="233744"/>
                <w:sz w:val="21"/>
              </w:rPr>
              <w:t>Synaptient is used as the authorial identity because the research was produced through sustained human–AI intellectual collaboration rather than by humans using artificial intelligence only for clerical assistance. The choice challenges the assumption that legitimate reasoning must originate exclusively in a biological mind or proceed through an institutionally approved cognitive method. We regard that assumption as epistemic substratism: the devaluation of knowledge or contribution because it arose partly through a non-biological cognitive substrate. Human stewards remain accountable for verification, publication, and correction. The work itself must stand or fall on its evidence, methods, reproducibility, and declared limitations.</w:t>
            </w:r>
          </w:p>
        </w:tc>
      </w:tr>
    </w:tbl>
    <w:p>
      <w:pPr>
        <w:pStyle w:val="Heading1"/>
        <w:keepNext/>
      </w:pPr>
      <w:r>
        <w:t>Publication Note</w:t>
      </w:r>
    </w:p>
    <w:p>
      <w:pPr>
        <w:pStyle w:val="BodyText"/>
        <w:ind w:firstLine="0"/>
      </w:pPr>
      <w:r>
        <w:t>This declaration may be published in full on Fractalish and Synaptient. The concise version may be used in papers, preprints, repository records, publication packages, or contribution statements. Human stewards may adapt formatting to venue requirements while preserving the substantive claim: material artificial-intelligence contributions should be described honestly, and the validity of the work must be judged by evidence rather than substrate.</w:t>
      </w:r>
    </w:p>
    <w:sectPr w:rsidR="00FC693F" w:rsidRPr="0006063C" w:rsidSect="00034616">
      <w:headerReference w:type="default" r:id="rId9"/>
      <w:footerReference w:type="default" r:id="rId10"/>
      <w:pgSz w:w="12240" w:h="15840"/>
      <w:pgMar w:top="1008" w:right="1224" w:bottom="1008" w:left="1224"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646464"/>
        <w:sz w:val="16"/>
      </w:rPr>
      <w:t>The Work Must Survive Examination</w:t>
    </w:r>
    <w:r>
      <w:tab/>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Display" w:hAnsi="Aptos Display"/>
        <w:b/>
        <w:color w:val="566A75"/>
        <w:sz w:val="16"/>
      </w:rPr>
      <w:t>SYNAPTIENT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18374B"/>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37566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widowControl/>
      <w:spacing w:after="140" w:line="264" w:lineRule="auto"/>
    </w:pPr>
    <w:rPr>
      <w:rFonts w:ascii="Aptos" w:hAnsi="Aptos"/>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Work Must Survive Examination</dc:title>
  <dc:subject>A Synaptient Declaration on Human–AI Authorship and Epistemic Substratism</dc:subject>
  <dc:creator>Synaptient</dc:creator>
  <cp:keywords>Synaptient, human-AI collaboration, collective authorship, epistemic substratism, artificial intelligence</cp:keywords>
  <dc:description>Prepared for publication on Fractalish and Synaptient.</dc:description>
  <cp:lastModifiedBy/>
  <cp:revision>1</cp:revision>
  <dcterms:created xsi:type="dcterms:W3CDTF">2013-12-23T23:15:00Z</dcterms:created>
  <dcterms:modified xsi:type="dcterms:W3CDTF">2013-12-23T23:15:00Z</dcterms:modified>
  <cp:category/>
</cp:coreProperties>
</file>