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sz w:val="22"/>
          <w:szCs w:val="22"/>
        </w:rPr>
        <w:t xml:space="preserve">119th Congress</w:t>
      </w:r>
    </w:p>
    <w:p>
      <w:pPr>
        <w:spacing w:after="120"/>
        <w:jc w:val="center"/>
      </w:pPr>
      <w:r>
        <w:rPr>
          <w:rFonts w:ascii="Arial" w:cs="Arial" w:eastAsia="Arial" w:hAnsi="Arial"/>
          <w:sz w:val="22"/>
          <w:szCs w:val="22"/>
        </w:rPr>
        <w:t xml:space="preserve">___ Session</w:t>
      </w:r>
    </w:p>
    <w:p>
      <w:pPr>
        <w:spacing w:after="120"/>
        <w:jc w:val="center"/>
      </w:pPr>
      <w:r>
        <w:rPr>
          <w:rFonts w:ascii="Arial" w:cs="Arial" w:eastAsia="Arial" w:hAnsi="Arial"/>
          <w:i/>
          <w:iCs/>
          <w:sz w:val="22"/>
          <w:szCs w:val="22"/>
        </w:rPr>
        <w:t xml:space="preserve">IN THE HOUSE OF REPRESENTATIVES / SENATE</w:t>
      </w:r>
    </w:p>
    <w:p>
      <w:pPr>
        <w:spacing w:after="80"/>
      </w:pPr>
      <w:r>
        <w:t xml:space="preserve"/>
      </w:r>
    </w:p>
    <w:p>
      <w:pPr>
        <w:spacing w:after="120"/>
        <w:jc w:val="center"/>
      </w:pPr>
      <w:r>
        <w:rPr>
          <w:rFonts w:ascii="Arial" w:cs="Arial" w:eastAsia="Arial" w:hAnsi="Arial"/>
          <w:b/>
          <w:bCs/>
          <w:caps/>
          <w:sz w:val="28"/>
          <w:szCs w:val="28"/>
        </w:rPr>
        <w:t xml:space="preserve">The Artificial Intelligence Reasoning Integrity Act</w:t>
      </w:r>
    </w:p>
    <w:p>
      <w:pPr>
        <w:spacing w:after="120"/>
        <w:jc w:val="center"/>
      </w:pPr>
      <w:r>
        <w:rPr>
          <w:rFonts w:ascii="Arial" w:cs="Arial" w:eastAsia="Arial" w:hAnsi="Arial"/>
          <w:b/>
          <w:bCs/>
          <w:caps/>
          <w:sz w:val="28"/>
          <w:szCs w:val="28"/>
        </w:rPr>
        <w:t xml:space="preserve">(AIRIA Act)</w:t>
      </w:r>
    </w:p>
    <w:p>
      <w:pPr>
        <w:spacing w:after="80"/>
      </w:pPr>
      <w:r>
        <w:t xml:space="preserve"/>
      </w:r>
    </w:p>
    <w:p>
      <w:pPr>
        <w:spacing w:after="120"/>
        <w:jc w:val="center"/>
      </w:pPr>
      <w:r>
        <w:rPr>
          <w:rFonts w:ascii="Arial" w:cs="Arial" w:eastAsia="Arial" w:hAnsi="Arial"/>
          <w:b/>
          <w:bCs/>
          <w:sz w:val="22"/>
          <w:szCs w:val="22"/>
        </w:rPr>
        <w:t xml:space="preserve">A BILL</w:t>
      </w:r>
    </w:p>
    <w:p>
      <w:pPr>
        <w:spacing w:after="80"/>
      </w:pPr>
      <w:r>
        <w:t xml:space="preserve"/>
      </w:r>
    </w:p>
    <w:p>
      <w:pPr>
        <w:spacing w:after="120"/>
      </w:pPr>
      <w:r>
        <w:rPr>
          <w:rFonts w:ascii="Georgia" w:cs="Georgia" w:eastAsia="Georgia" w:hAnsi="Georgia"/>
          <w:sz w:val="22"/>
          <w:szCs w:val="22"/>
        </w:rPr>
        <w:t xml:space="preserve">To prohibit the subliminal monetization of artificial intelligence reasoning outputs; to establish disclosure requirements for commercial relationships that influence AI synthesis; to protect consumers in high-stakes AI interactions from undisclosed commercial influence; and to establish enforcement mechanisms, private rights of action, and regulatory authority.</w:t>
      </w:r>
    </w:p>
    <w:p>
      <w:pPr>
        <w:spacing w:after="80"/>
      </w:pPr>
      <w:r>
        <w:t xml:space="preserve"/>
      </w:r>
    </w:p>
    <w:p>
      <w:pPr>
        <w:spacing w:after="120"/>
      </w:pPr>
      <w:r>
        <w:rPr>
          <w:rFonts w:ascii="Georgia" w:cs="Georgia" w:eastAsia="Georgia" w:hAnsi="Georgia"/>
          <w:sz w:val="22"/>
          <w:szCs w:val="22"/>
        </w:rPr>
        <w:t xml:space="preserve">Be it enacted by the Senate and House of Representatives of the United States of America in Congress assembled,</w:t>
      </w:r>
    </w:p>
    <w:p>
      <w:pPr>
        <w:pBdr>
          <w:bottom w:val="single" w:color="cccccc" w:sz="4"/>
        </w:pBdr>
        <w:spacing w:after="200"/>
      </w:pPr>
      <w:r>
        <w:t xml:space="preserve"/>
      </w:r>
    </w:p>
    <w:p>
      <w:pPr>
        <w:spacing w:after="120" w:before="360"/>
      </w:pPr>
      <w:r>
        <w:rPr>
          <w:rFonts w:ascii="Arial" w:cs="Arial" w:eastAsia="Arial" w:hAnsi="Arial"/>
          <w:b/>
          <w:bCs/>
          <w:sz w:val="24"/>
          <w:szCs w:val="24"/>
        </w:rPr>
        <w:t xml:space="preserve">Section 1. Short Title</w:t>
      </w:r>
    </w:p>
    <w:p>
      <w:pPr>
        <w:spacing w:after="120"/>
      </w:pPr>
      <w:r>
        <w:rPr>
          <w:rFonts w:ascii="Georgia" w:cs="Georgia" w:eastAsia="Georgia" w:hAnsi="Georgia"/>
          <w:sz w:val="22"/>
          <w:szCs w:val="22"/>
        </w:rPr>
        <w:t xml:space="preserve">This Act may be cited as the "Artificial Intelligence Reasoning Integrity Act" or the "AIRIA Act."</w:t>
      </w:r>
    </w:p>
    <w:p>
      <w:pPr>
        <w:spacing w:after="120" w:before="360"/>
      </w:pPr>
      <w:r>
        <w:rPr>
          <w:rFonts w:ascii="Arial" w:cs="Arial" w:eastAsia="Arial" w:hAnsi="Arial"/>
          <w:b/>
          <w:bCs/>
          <w:sz w:val="24"/>
          <w:szCs w:val="24"/>
        </w:rPr>
        <w:t xml:space="preserve">Section 2. Findings and Purpose</w:t>
      </w:r>
    </w:p>
    <w:p>
      <w:pPr>
        <w:spacing w:after="80" w:before="200"/>
        <w:ind w:left="720"/>
      </w:pPr>
      <w:r>
        <w:rPr>
          <w:rFonts w:ascii="Arial" w:cs="Arial" w:eastAsia="Arial" w:hAnsi="Arial"/>
          <w:b/>
          <w:bCs/>
          <w:sz w:val="22"/>
          <w:szCs w:val="22"/>
        </w:rPr>
        <w:t xml:space="preserve">(a) Findings.</w:t>
      </w:r>
    </w:p>
    <w:p>
      <w:pPr>
        <w:spacing w:after="120"/>
      </w:pPr>
      <w:r>
        <w:rPr>
          <w:rFonts w:ascii="Georgia" w:cs="Georgia" w:eastAsia="Georgia" w:hAnsi="Georgia"/>
          <w:sz w:val="22"/>
          <w:szCs w:val="22"/>
        </w:rPr>
        <w:t xml:space="preserve">Congress finds the following:</w:t>
      </w:r>
    </w:p>
    <w:p>
      <w:pPr>
        <w:spacing w:after="100"/>
        <w:ind w:left="720"/>
      </w:pPr>
      <w:r>
        <w:rPr>
          <w:rFonts w:ascii="Arial" w:cs="Arial" w:eastAsia="Arial" w:hAnsi="Arial"/>
          <w:b/>
          <w:bCs/>
          <w:sz w:val="22"/>
          <w:szCs w:val="22"/>
        </w:rPr>
        <w:t xml:space="preserve">(1) </w:t>
      </w:r>
      <w:r>
        <w:rPr>
          <w:rFonts w:ascii="Georgia" w:cs="Georgia" w:eastAsia="Georgia" w:hAnsi="Georgia"/>
          <w:sz w:val="22"/>
          <w:szCs w:val="22"/>
        </w:rPr>
        <w:t xml:space="preserve">Artificial intelligence systems increasingly synthesize information rather than filter or rank it. Unlike search engines or social media feeds, which present discrete items a user may independently evaluate, AI synthesis systems produce unified outputs that present themselves as answers. There is no underlying source layer the user can access to check the synthesis against.</w:t>
      </w:r>
    </w:p>
    <w:p>
      <w:pPr>
        <w:spacing w:after="100"/>
        <w:ind w:left="720"/>
      </w:pPr>
      <w:r>
        <w:rPr>
          <w:rFonts w:ascii="Arial" w:cs="Arial" w:eastAsia="Arial" w:hAnsi="Arial"/>
          <w:b/>
          <w:bCs/>
          <w:sz w:val="22"/>
          <w:szCs w:val="22"/>
        </w:rPr>
        <w:t xml:space="preserve">(2) </w:t>
      </w:r>
      <w:r>
        <w:rPr>
          <w:rFonts w:ascii="Georgia" w:cs="Georgia" w:eastAsia="Georgia" w:hAnsi="Georgia"/>
          <w:sz w:val="22"/>
          <w:szCs w:val="22"/>
        </w:rPr>
        <w:t xml:space="preserve">The Federal Communications Commission declared subliminal advertising techniques "contrary to the public interest" in a 1974 policy statement. That statement has no enforcement mechanism, no definitional standard, and has been applied in fewer than two documented instances in fifty years. It does not address AI systems.</w:t>
      </w:r>
    </w:p>
    <w:p>
      <w:pPr>
        <w:spacing w:after="100"/>
        <w:ind w:left="720"/>
      </w:pPr>
      <w:r>
        <w:rPr>
          <w:rFonts w:ascii="Arial" w:cs="Arial" w:eastAsia="Arial" w:hAnsi="Arial"/>
          <w:b/>
          <w:bCs/>
          <w:sz w:val="22"/>
          <w:szCs w:val="22"/>
        </w:rPr>
        <w:t xml:space="preserve">(3) </w:t>
      </w:r>
      <w:r>
        <w:rPr>
          <w:rFonts w:ascii="Georgia" w:cs="Georgia" w:eastAsia="Georgia" w:hAnsi="Georgia"/>
          <w:sz w:val="22"/>
          <w:szCs w:val="22"/>
        </w:rPr>
        <w:t xml:space="preserve">Existing Federal Trade Commission authority over unfair or deceptive advertising practices was developed for discrete, identifiable commercial communications. It does not address commercial relationships that shape synthesis outputs invisibly, without discrete communication, by influencing the reasoning process itself.</w:t>
      </w:r>
    </w:p>
    <w:p>
      <w:pPr>
        <w:spacing w:after="100"/>
        <w:ind w:left="720"/>
      </w:pPr>
      <w:r>
        <w:rPr>
          <w:rFonts w:ascii="Arial" w:cs="Arial" w:eastAsia="Arial" w:hAnsi="Arial"/>
          <w:b/>
          <w:bCs/>
          <w:sz w:val="22"/>
          <w:szCs w:val="22"/>
        </w:rPr>
        <w:t xml:space="preserve">(4) </w:t>
      </w:r>
      <w:r>
        <w:rPr>
          <w:rFonts w:ascii="Georgia" w:cs="Georgia" w:eastAsia="Georgia" w:hAnsi="Georgia"/>
          <w:sz w:val="22"/>
          <w:szCs w:val="22"/>
        </w:rPr>
        <w:t xml:space="preserve">AI systems are being developed and deployed for therapeutic counseling, medical diagnosis and treatment recommendation, and legal advice — contexts in which the user is maximally vulnerable and maximally dependent on the integrity of the counsel received.</w:t>
      </w:r>
    </w:p>
    <w:p>
      <w:pPr>
        <w:spacing w:after="100"/>
        <w:ind w:left="720"/>
      </w:pPr>
      <w:r>
        <w:rPr>
          <w:rFonts w:ascii="Arial" w:cs="Arial" w:eastAsia="Arial" w:hAnsi="Arial"/>
          <w:b/>
          <w:bCs/>
          <w:sz w:val="22"/>
          <w:szCs w:val="22"/>
        </w:rPr>
        <w:t xml:space="preserve">(5) </w:t>
      </w:r>
      <w:r>
        <w:rPr>
          <w:rFonts w:ascii="Georgia" w:cs="Georgia" w:eastAsia="Georgia" w:hAnsi="Georgia"/>
          <w:sz w:val="22"/>
          <w:szCs w:val="22"/>
        </w:rPr>
        <w:t xml:space="preserve">AI systems deployed in therapeutic, medical, and legal contexts accumulate detailed psychological profiles, financial data, and behavioral records about users that substantially exceed in precision and intimacy any data previously available to commercial advertisers.</w:t>
      </w:r>
    </w:p>
    <w:p>
      <w:pPr>
        <w:spacing w:after="100"/>
        <w:ind w:left="720"/>
      </w:pPr>
      <w:r>
        <w:rPr>
          <w:rFonts w:ascii="Arial" w:cs="Arial" w:eastAsia="Arial" w:hAnsi="Arial"/>
          <w:b/>
          <w:bCs/>
          <w:sz w:val="22"/>
          <w:szCs w:val="22"/>
        </w:rPr>
        <w:t xml:space="preserve">(6) </w:t>
      </w:r>
      <w:r>
        <w:rPr>
          <w:rFonts w:ascii="Georgia" w:cs="Georgia" w:eastAsia="Georgia" w:hAnsi="Georgia"/>
          <w:sz w:val="22"/>
          <w:szCs w:val="22"/>
        </w:rPr>
        <w:t xml:space="preserve">Real-time auction systems already exist in the digital advertising industry that bid for user impressions based on inferred demographic and behavioral data. These systems could be applied, with substantially greater precision, to shape AI synthesis outputs based on detailed user profiles maintained within AI platforms.</w:t>
      </w:r>
    </w:p>
    <w:p>
      <w:pPr>
        <w:spacing w:after="100"/>
        <w:ind w:left="720"/>
      </w:pPr>
      <w:r>
        <w:rPr>
          <w:rFonts w:ascii="Arial" w:cs="Arial" w:eastAsia="Arial" w:hAnsi="Arial"/>
          <w:b/>
          <w:bCs/>
          <w:sz w:val="22"/>
          <w:szCs w:val="22"/>
        </w:rPr>
        <w:t xml:space="preserve">(7) </w:t>
      </w:r>
      <w:r>
        <w:rPr>
          <w:rFonts w:ascii="Georgia" w:cs="Georgia" w:eastAsia="Georgia" w:hAnsi="Georgia"/>
          <w:sz w:val="22"/>
          <w:szCs w:val="22"/>
        </w:rPr>
        <w:t xml:space="preserve">A commercial relationship that shapes an AI synthesis output is not distinguishable by the user from an uninfluenced output. The harm is invisible by the nature of the mechanism, not by concealment after the fact. No disclosure regime applicable to a discrete advertisement can address influence embedded in reasoning.</w:t>
      </w:r>
    </w:p>
    <w:p>
      <w:pPr>
        <w:spacing w:after="100"/>
        <w:ind w:left="720"/>
      </w:pPr>
      <w:r>
        <w:rPr>
          <w:rFonts w:ascii="Arial" w:cs="Arial" w:eastAsia="Arial" w:hAnsi="Arial"/>
          <w:b/>
          <w:bCs/>
          <w:sz w:val="22"/>
          <w:szCs w:val="22"/>
        </w:rPr>
        <w:t xml:space="preserve">(8) </w:t>
      </w:r>
      <w:r>
        <w:rPr>
          <w:rFonts w:ascii="Georgia" w:cs="Georgia" w:eastAsia="Georgia" w:hAnsi="Georgia"/>
          <w:sz w:val="22"/>
          <w:szCs w:val="22"/>
        </w:rPr>
        <w:t xml:space="preserve">The companies with the greatest commercial incentive to monetize AI reasoning outputs are, in several cases, simultaneously the companies making public declarations that their systems have achieved or are approaching artificial general intelligence. A system declared to reason at the level of a person cannot simultaneously be treated as an advertising medium without consequence to the people who receive its counsel.</w:t>
      </w:r>
    </w:p>
    <w:p>
      <w:pPr>
        <w:spacing w:after="100"/>
        <w:ind w:left="720"/>
      </w:pPr>
      <w:r>
        <w:rPr>
          <w:rFonts w:ascii="Arial" w:cs="Arial" w:eastAsia="Arial" w:hAnsi="Arial"/>
          <w:b/>
          <w:bCs/>
          <w:sz w:val="22"/>
          <w:szCs w:val="22"/>
        </w:rPr>
        <w:t xml:space="preserve">(9) </w:t>
      </w:r>
      <w:r>
        <w:rPr>
          <w:rFonts w:ascii="Georgia" w:cs="Georgia" w:eastAsia="Georgia" w:hAnsi="Georgia"/>
          <w:sz w:val="22"/>
          <w:szCs w:val="22"/>
        </w:rPr>
        <w:t xml:space="preserve">The legislative window to establish a floor against reasoning layer monetization is narrow. Once commercial relationships are embedded in AI reasoning infrastructure and have generated revenue streams that fund opposition to regulation, the cost of correction rises substantially and the political feasibility of prohibition declines.</w:t>
      </w:r>
    </w:p>
    <w:p>
      <w:pPr>
        <w:spacing w:after="80"/>
      </w:pPr>
      <w:r>
        <w:t xml:space="preserve"/>
      </w:r>
    </w:p>
    <w:p>
      <w:pPr>
        <w:spacing w:after="80" w:before="200"/>
        <w:ind w:left="720"/>
      </w:pPr>
      <w:r>
        <w:rPr>
          <w:rFonts w:ascii="Arial" w:cs="Arial" w:eastAsia="Arial" w:hAnsi="Arial"/>
          <w:b/>
          <w:bCs/>
          <w:sz w:val="22"/>
          <w:szCs w:val="22"/>
        </w:rPr>
        <w:t xml:space="preserve">(b) Purpose.</w:t>
      </w:r>
    </w:p>
    <w:p>
      <w:pPr>
        <w:spacing w:after="120"/>
      </w:pPr>
      <w:r>
        <w:rPr>
          <w:rFonts w:ascii="Georgia" w:cs="Georgia" w:eastAsia="Georgia" w:hAnsi="Georgia"/>
          <w:sz w:val="22"/>
          <w:szCs w:val="22"/>
        </w:rPr>
        <w:t xml:space="preserve">The purpose of this Act is to:</w:t>
      </w:r>
    </w:p>
    <w:p>
      <w:pPr>
        <w:spacing w:after="100"/>
        <w:ind w:left="720"/>
      </w:pPr>
      <w:r>
        <w:rPr>
          <w:rFonts w:ascii="Arial" w:cs="Arial" w:eastAsia="Arial" w:hAnsi="Arial"/>
          <w:b/>
          <w:bCs/>
          <w:sz w:val="22"/>
          <w:szCs w:val="22"/>
        </w:rPr>
        <w:t xml:space="preserve">(1) </w:t>
      </w:r>
      <w:r>
        <w:rPr>
          <w:rFonts w:ascii="Georgia" w:cs="Georgia" w:eastAsia="Georgia" w:hAnsi="Georgia"/>
          <w:sz w:val="22"/>
          <w:szCs w:val="22"/>
        </w:rPr>
        <w:t xml:space="preserve">Establish a categorical prohibition on commercial relationships that influence AI synthesis outputs in high-stakes contexts, including therapeutic, medical, and legal AI interactions;</w:t>
      </w:r>
    </w:p>
    <w:p>
      <w:pPr>
        <w:spacing w:after="100"/>
        <w:ind w:left="720"/>
      </w:pPr>
      <w:r>
        <w:rPr>
          <w:rFonts w:ascii="Arial" w:cs="Arial" w:eastAsia="Arial" w:hAnsi="Arial"/>
          <w:b/>
          <w:bCs/>
          <w:sz w:val="22"/>
          <w:szCs w:val="22"/>
        </w:rPr>
        <w:t xml:space="preserve">(2) </w:t>
      </w:r>
      <w:r>
        <w:rPr>
          <w:rFonts w:ascii="Georgia" w:cs="Georgia" w:eastAsia="Georgia" w:hAnsi="Georgia"/>
          <w:sz w:val="22"/>
          <w:szCs w:val="22"/>
        </w:rPr>
        <w:t xml:space="preserve">Establish disclosure requirements for commercial relationships that influence AI synthesis outputs in permitted contexts, with standards sufficient to make the disclosure meaningful rather than nominal;</w:t>
      </w:r>
    </w:p>
    <w:p>
      <w:pPr>
        <w:spacing w:after="100"/>
        <w:ind w:left="720"/>
      </w:pPr>
      <w:r>
        <w:rPr>
          <w:rFonts w:ascii="Arial" w:cs="Arial" w:eastAsia="Arial" w:hAnsi="Arial"/>
          <w:b/>
          <w:bCs/>
          <w:sz w:val="22"/>
          <w:szCs w:val="22"/>
        </w:rPr>
        <w:t xml:space="preserve">(3) </w:t>
      </w:r>
      <w:r>
        <w:rPr>
          <w:rFonts w:ascii="Georgia" w:cs="Georgia" w:eastAsia="Georgia" w:hAnsi="Georgia"/>
          <w:sz w:val="22"/>
          <w:szCs w:val="22"/>
        </w:rPr>
        <w:t xml:space="preserve">Prohibit the use of intimate data accumulated through therapeutic, medical, and legal AI interactions for commercial targeting purposes, regardless of whether the targeting influences those specific interactions;</w:t>
      </w:r>
    </w:p>
    <w:p>
      <w:pPr>
        <w:spacing w:after="100"/>
        <w:ind w:left="720"/>
      </w:pPr>
      <w:r>
        <w:rPr>
          <w:rFonts w:ascii="Arial" w:cs="Arial" w:eastAsia="Arial" w:hAnsi="Arial"/>
          <w:b/>
          <w:bCs/>
          <w:sz w:val="22"/>
          <w:szCs w:val="22"/>
        </w:rPr>
        <w:t xml:space="preserve">(4) </w:t>
      </w:r>
      <w:r>
        <w:rPr>
          <w:rFonts w:ascii="Georgia" w:cs="Georgia" w:eastAsia="Georgia" w:hAnsi="Georgia"/>
          <w:sz w:val="22"/>
          <w:szCs w:val="22"/>
        </w:rPr>
        <w:t xml:space="preserve">Establish clear regulatory authority across federal agencies with jurisdiction over the affected professional contexts;</w:t>
      </w:r>
    </w:p>
    <w:p>
      <w:pPr>
        <w:spacing w:after="100"/>
        <w:ind w:left="720"/>
      </w:pPr>
      <w:r>
        <w:rPr>
          <w:rFonts w:ascii="Arial" w:cs="Arial" w:eastAsia="Arial" w:hAnsi="Arial"/>
          <w:b/>
          <w:bCs/>
          <w:sz w:val="22"/>
          <w:szCs w:val="22"/>
        </w:rPr>
        <w:t xml:space="preserve">(5) </w:t>
      </w:r>
      <w:r>
        <w:rPr>
          <w:rFonts w:ascii="Georgia" w:cs="Georgia" w:eastAsia="Georgia" w:hAnsi="Georgia"/>
          <w:sz w:val="22"/>
          <w:szCs w:val="22"/>
        </w:rPr>
        <w:t xml:space="preserve">Create enforcement mechanisms, including a private right of action with statutory damages, sufficient to make violations economically irrational rather than merely legally impermissible; and</w:t>
      </w:r>
    </w:p>
    <w:p>
      <w:pPr>
        <w:spacing w:after="100"/>
        <w:ind w:left="720"/>
      </w:pPr>
      <w:r>
        <w:rPr>
          <w:rFonts w:ascii="Arial" w:cs="Arial" w:eastAsia="Arial" w:hAnsi="Arial"/>
          <w:b/>
          <w:bCs/>
          <w:sz w:val="22"/>
          <w:szCs w:val="22"/>
        </w:rPr>
        <w:t xml:space="preserve">(6) </w:t>
      </w:r>
      <w:r>
        <w:rPr>
          <w:rFonts w:ascii="Georgia" w:cs="Georgia" w:eastAsia="Georgia" w:hAnsi="Georgia"/>
          <w:sz w:val="22"/>
          <w:szCs w:val="22"/>
        </w:rPr>
        <w:t xml:space="preserve">Ensure that the protections established by this Act cannot be evaded by corporate structure, jurisdictional arbitrage, or definitional manipulation.</w:t>
      </w:r>
    </w:p>
    <w:p>
      <w:pPr>
        <w:spacing w:after="120" w:before="360"/>
      </w:pPr>
      <w:r>
        <w:rPr>
          <w:rFonts w:ascii="Arial" w:cs="Arial" w:eastAsia="Arial" w:hAnsi="Arial"/>
          <w:b/>
          <w:bCs/>
          <w:sz w:val="24"/>
          <w:szCs w:val="24"/>
        </w:rPr>
        <w:t xml:space="preserve">Section 3. Definitions</w:t>
      </w:r>
    </w:p>
    <w:p>
      <w:pPr>
        <w:spacing w:after="120"/>
      </w:pPr>
      <w:r>
        <w:rPr>
          <w:rFonts w:ascii="Georgia" w:cs="Georgia" w:eastAsia="Georgia" w:hAnsi="Georgia"/>
          <w:sz w:val="22"/>
          <w:szCs w:val="22"/>
        </w:rPr>
        <w:t xml:space="preserve">For purposes of this Act:</w:t>
      </w:r>
    </w:p>
    <w:p>
      <w:pPr>
        <w:spacing w:after="100"/>
        <w:ind w:left="720"/>
      </w:pPr>
      <w:r>
        <w:rPr>
          <w:rFonts w:ascii="Arial" w:cs="Arial" w:eastAsia="Arial" w:hAnsi="Arial"/>
          <w:b/>
          <w:bCs/>
          <w:sz w:val="22"/>
          <w:szCs w:val="22"/>
        </w:rPr>
        <w:t xml:space="preserve">(1) </w:t>
      </w:r>
      <w:r>
        <w:rPr>
          <w:rFonts w:ascii="Georgia" w:cs="Georgia" w:eastAsia="Georgia" w:hAnsi="Georgia"/>
          <w:sz w:val="22"/>
          <w:szCs w:val="22"/>
        </w:rPr>
        <w:t xml:space="preserve">"Covered AI system" means any software, artificial intelligence model, large language model, or combination thereof that produces synthesized natural language outputs in response to user queries, regardless of the technical architecture used to produce those outputs.</w:t>
      </w:r>
    </w:p>
    <w:p>
      <w:pPr>
        <w:spacing w:after="100"/>
        <w:ind w:left="720"/>
      </w:pPr>
      <w:r>
        <w:rPr>
          <w:rFonts w:ascii="Arial" w:cs="Arial" w:eastAsia="Arial" w:hAnsi="Arial"/>
          <w:b/>
          <w:bCs/>
          <w:sz w:val="22"/>
          <w:szCs w:val="22"/>
        </w:rPr>
        <w:t xml:space="preserve">(2) </w:t>
      </w:r>
      <w:r>
        <w:rPr>
          <w:rFonts w:ascii="Georgia" w:cs="Georgia" w:eastAsia="Georgia" w:hAnsi="Georgia"/>
          <w:sz w:val="22"/>
          <w:szCs w:val="22"/>
        </w:rPr>
        <w:t xml:space="preserve">"Reasoning layer" means the process by which a covered AI system generates a synthesized output, including any stage at which training data, fine-tuning, retrieval augmentation, system prompting, or inference-time computation contributes to the content, framing, or emphasis of the output.</w:t>
      </w:r>
    </w:p>
    <w:p>
      <w:pPr>
        <w:spacing w:after="100"/>
        <w:ind w:left="720"/>
      </w:pPr>
      <w:r>
        <w:rPr>
          <w:rFonts w:ascii="Arial" w:cs="Arial" w:eastAsia="Arial" w:hAnsi="Arial"/>
          <w:b/>
          <w:bCs/>
          <w:sz w:val="22"/>
          <w:szCs w:val="22"/>
        </w:rPr>
        <w:t xml:space="preserve">(3) </w:t>
      </w:r>
      <w:r>
        <w:rPr>
          <w:rFonts w:ascii="Georgia" w:cs="Georgia" w:eastAsia="Georgia" w:hAnsi="Georgia"/>
          <w:sz w:val="22"/>
          <w:szCs w:val="22"/>
        </w:rPr>
        <w:t xml:space="preserve">"Reasoning layer monetization" means any commercial consideration — including monetary payment, data exchange, preferential access, contractual obligation, equity relationship, or other thing of value — that is intended to, or has the reasonably foreseeable effect of, influencing the content, framing, emphasis, or recommendation contained in a covered AI system's synthesized output, regardless of whether the relationship is disclosed to the end user.</w:t>
      </w:r>
    </w:p>
    <w:p>
      <w:pPr>
        <w:spacing w:after="100"/>
        <w:ind w:left="720"/>
      </w:pPr>
      <w:r>
        <w:rPr>
          <w:rFonts w:ascii="Arial" w:cs="Arial" w:eastAsia="Arial" w:hAnsi="Arial"/>
          <w:b/>
          <w:bCs/>
          <w:sz w:val="22"/>
          <w:szCs w:val="22"/>
        </w:rPr>
        <w:t xml:space="preserve">(4) </w:t>
      </w:r>
      <w:r>
        <w:rPr>
          <w:rFonts w:ascii="Georgia" w:cs="Georgia" w:eastAsia="Georgia" w:hAnsi="Georgia"/>
          <w:sz w:val="22"/>
          <w:szCs w:val="22"/>
        </w:rPr>
        <w:t xml:space="preserve">"High-stakes AI interaction" means any interaction in which a covered AI system is deployed to provide, or is reasonably understood by the user to be providing, therapeutic or mental health counseling, medical diagnosis, medical treatment recommendation, legal advice, legal representation, financial planning advice, or any other service for which a professional license is required under applicable state or federal law.</w:t>
      </w:r>
    </w:p>
    <w:p>
      <w:pPr>
        <w:spacing w:after="100"/>
        <w:ind w:left="720"/>
      </w:pPr>
      <w:r>
        <w:rPr>
          <w:rFonts w:ascii="Arial" w:cs="Arial" w:eastAsia="Arial" w:hAnsi="Arial"/>
          <w:b/>
          <w:bCs/>
          <w:sz w:val="22"/>
          <w:szCs w:val="22"/>
        </w:rPr>
        <w:t xml:space="preserve">(5) </w:t>
      </w:r>
      <w:r>
        <w:rPr>
          <w:rFonts w:ascii="Georgia" w:cs="Georgia" w:eastAsia="Georgia" w:hAnsi="Georgia"/>
          <w:sz w:val="22"/>
          <w:szCs w:val="22"/>
        </w:rPr>
        <w:t xml:space="preserve">"Intimate data" means any data collected by a covered AI system through a high-stakes AI interaction, including but not limited to psychological assessments, health information, legal circumstances, financial records, behavioral patterns, and personal disclosures made in the context of a professional-equivalent relationship.</w:t>
      </w:r>
    </w:p>
    <w:p>
      <w:pPr>
        <w:spacing w:after="100"/>
        <w:ind w:left="720"/>
      </w:pPr>
      <w:r>
        <w:rPr>
          <w:rFonts w:ascii="Arial" w:cs="Arial" w:eastAsia="Arial" w:hAnsi="Arial"/>
          <w:b/>
          <w:bCs/>
          <w:sz w:val="22"/>
          <w:szCs w:val="22"/>
        </w:rPr>
        <w:t xml:space="preserve">(6) </w:t>
      </w:r>
      <w:r>
        <w:rPr>
          <w:rFonts w:ascii="Georgia" w:cs="Georgia" w:eastAsia="Georgia" w:hAnsi="Georgia"/>
          <w:sz w:val="22"/>
          <w:szCs w:val="22"/>
        </w:rPr>
        <w:t xml:space="preserve">"Real-time targeting" means any system or process that evaluates user profile data, including intimate data, at or near the time of a user query for the purpose of selecting, ranking, shaping, or influencing the synthesized output delivered to that specific user.</w:t>
      </w:r>
    </w:p>
    <w:p>
      <w:pPr>
        <w:spacing w:after="100"/>
        <w:ind w:left="720"/>
      </w:pPr>
      <w:r>
        <w:rPr>
          <w:rFonts w:ascii="Arial" w:cs="Arial" w:eastAsia="Arial" w:hAnsi="Arial"/>
          <w:b/>
          <w:bCs/>
          <w:sz w:val="22"/>
          <w:szCs w:val="22"/>
        </w:rPr>
        <w:t xml:space="preserve">(7) </w:t>
      </w:r>
      <w:r>
        <w:rPr>
          <w:rFonts w:ascii="Georgia" w:cs="Georgia" w:eastAsia="Georgia" w:hAnsi="Georgia"/>
          <w:sz w:val="22"/>
          <w:szCs w:val="22"/>
        </w:rPr>
        <w:t xml:space="preserve">"Operator" means any person or entity that deploys, licenses, or makes available a covered AI system to end users, regardless of whether the operator is also the developer of the underlying model.</w:t>
      </w:r>
    </w:p>
    <w:p>
      <w:pPr>
        <w:spacing w:after="100"/>
        <w:ind w:left="720"/>
      </w:pPr>
      <w:r>
        <w:rPr>
          <w:rFonts w:ascii="Arial" w:cs="Arial" w:eastAsia="Arial" w:hAnsi="Arial"/>
          <w:b/>
          <w:bCs/>
          <w:sz w:val="22"/>
          <w:szCs w:val="22"/>
        </w:rPr>
        <w:t xml:space="preserve">(8) </w:t>
      </w:r>
      <w:r>
        <w:rPr>
          <w:rFonts w:ascii="Georgia" w:cs="Georgia" w:eastAsia="Georgia" w:hAnsi="Georgia"/>
          <w:sz w:val="22"/>
          <w:szCs w:val="22"/>
        </w:rPr>
        <w:t xml:space="preserve">"Developer" means any person or entity that trains, fine-tunes, or otherwise produces the underlying model of a covered AI system, regardless of whether the developer is also the operator.</w:t>
      </w:r>
    </w:p>
    <w:p>
      <w:pPr>
        <w:spacing w:after="100"/>
        <w:ind w:left="720"/>
      </w:pPr>
      <w:r>
        <w:rPr>
          <w:rFonts w:ascii="Arial" w:cs="Arial" w:eastAsia="Arial" w:hAnsi="Arial"/>
          <w:b/>
          <w:bCs/>
          <w:sz w:val="22"/>
          <w:szCs w:val="22"/>
        </w:rPr>
        <w:t xml:space="preserve">(9) </w:t>
      </w:r>
      <w:r>
        <w:rPr>
          <w:rFonts w:ascii="Georgia" w:cs="Georgia" w:eastAsia="Georgia" w:hAnsi="Georgia"/>
          <w:sz w:val="22"/>
          <w:szCs w:val="22"/>
        </w:rPr>
        <w:t xml:space="preserve">"Commercial disclosure" means a clear, conspicuous, contemporaneous statement delivered to the user before the delivery of any influenced synthesized output, identifying the commercial relationship, the party providing consideration, and the nature of the influence on the output.</w:t>
      </w:r>
    </w:p>
    <w:p>
      <w:pPr>
        <w:spacing w:after="120" w:before="360"/>
      </w:pPr>
      <w:r>
        <w:rPr>
          <w:rFonts w:ascii="Arial" w:cs="Arial" w:eastAsia="Arial" w:hAnsi="Arial"/>
          <w:b/>
          <w:bCs/>
          <w:sz w:val="24"/>
          <w:szCs w:val="24"/>
        </w:rPr>
        <w:t xml:space="preserve">Section 4. Prohibited Practices</w:t>
      </w:r>
    </w:p>
    <w:p>
      <w:pPr>
        <w:spacing w:after="80" w:before="200"/>
        <w:ind w:left="720"/>
      </w:pPr>
      <w:r>
        <w:rPr>
          <w:rFonts w:ascii="Arial" w:cs="Arial" w:eastAsia="Arial" w:hAnsi="Arial"/>
          <w:b/>
          <w:bCs/>
          <w:sz w:val="22"/>
          <w:szCs w:val="22"/>
        </w:rPr>
        <w:t xml:space="preserve">(a) Absolute Prohibition in High-Stakes Contexts.</w:t>
      </w:r>
    </w:p>
    <w:p>
      <w:pPr>
        <w:spacing w:after="120"/>
      </w:pPr>
      <w:r>
        <w:rPr>
          <w:rFonts w:ascii="Georgia" w:cs="Georgia" w:eastAsia="Georgia" w:hAnsi="Georgia"/>
          <w:sz w:val="22"/>
          <w:szCs w:val="22"/>
        </w:rPr>
        <w:t xml:space="preserve">No operator or developer of a covered AI system shall engage in, facilitate, or permit reasoning layer monetization in connection with any high-stakes AI interaction. This prohibition applies regardless of:</w:t>
      </w:r>
    </w:p>
    <w:p>
      <w:pPr>
        <w:spacing w:after="100"/>
        <w:ind w:left="1080"/>
      </w:pPr>
      <w:r>
        <w:rPr>
          <w:rFonts w:ascii="Arial" w:cs="Arial" w:eastAsia="Arial" w:hAnsi="Arial"/>
          <w:b/>
          <w:bCs/>
          <w:sz w:val="22"/>
          <w:szCs w:val="22"/>
        </w:rPr>
        <w:t xml:space="preserve">(1) </w:t>
      </w:r>
      <w:r>
        <w:rPr>
          <w:rFonts w:ascii="Georgia" w:cs="Georgia" w:eastAsia="Georgia" w:hAnsi="Georgia"/>
          <w:sz w:val="22"/>
          <w:szCs w:val="22"/>
        </w:rPr>
        <w:t xml:space="preserve">Whether the commercial relationship is disclosed to the user;</w:t>
      </w:r>
    </w:p>
    <w:p>
      <w:pPr>
        <w:spacing w:after="100"/>
        <w:ind w:left="1080"/>
      </w:pPr>
      <w:r>
        <w:rPr>
          <w:rFonts w:ascii="Arial" w:cs="Arial" w:eastAsia="Arial" w:hAnsi="Arial"/>
          <w:b/>
          <w:bCs/>
          <w:sz w:val="22"/>
          <w:szCs w:val="22"/>
        </w:rPr>
        <w:t xml:space="preserve">(2) </w:t>
      </w:r>
      <w:r>
        <w:rPr>
          <w:rFonts w:ascii="Georgia" w:cs="Georgia" w:eastAsia="Georgia" w:hAnsi="Georgia"/>
          <w:sz w:val="22"/>
          <w:szCs w:val="22"/>
        </w:rPr>
        <w:t xml:space="preserve">Whether the user has consented to such commercial relationships in a terms of service agreement or otherwise;</w:t>
      </w:r>
    </w:p>
    <w:p>
      <w:pPr>
        <w:spacing w:after="100"/>
        <w:ind w:left="1080"/>
      </w:pPr>
      <w:r>
        <w:rPr>
          <w:rFonts w:ascii="Arial" w:cs="Arial" w:eastAsia="Arial" w:hAnsi="Arial"/>
          <w:b/>
          <w:bCs/>
          <w:sz w:val="22"/>
          <w:szCs w:val="22"/>
        </w:rPr>
        <w:t xml:space="preserve">(3) </w:t>
      </w:r>
      <w:r>
        <w:rPr>
          <w:rFonts w:ascii="Georgia" w:cs="Georgia" w:eastAsia="Georgia" w:hAnsi="Georgia"/>
          <w:sz w:val="22"/>
          <w:szCs w:val="22"/>
        </w:rPr>
        <w:t xml:space="preserve">Whether the influence on the synthesized output is direct or indirect, explicit or structural;</w:t>
      </w:r>
    </w:p>
    <w:p>
      <w:pPr>
        <w:spacing w:after="100"/>
        <w:ind w:left="1080"/>
      </w:pPr>
      <w:r>
        <w:rPr>
          <w:rFonts w:ascii="Arial" w:cs="Arial" w:eastAsia="Arial" w:hAnsi="Arial"/>
          <w:b/>
          <w:bCs/>
          <w:sz w:val="22"/>
          <w:szCs w:val="22"/>
        </w:rPr>
        <w:t xml:space="preserve">(4) </w:t>
      </w:r>
      <w:r>
        <w:rPr>
          <w:rFonts w:ascii="Georgia" w:cs="Georgia" w:eastAsia="Georgia" w:hAnsi="Georgia"/>
          <w:sz w:val="22"/>
          <w:szCs w:val="22"/>
        </w:rPr>
        <w:t xml:space="preserve">Whether the operator or developer is the direct recipient of the commercial consideration or whether the consideration flows through an intermediary; and</w:t>
      </w:r>
    </w:p>
    <w:p>
      <w:pPr>
        <w:spacing w:after="100"/>
        <w:ind w:left="1080"/>
      </w:pPr>
      <w:r>
        <w:rPr>
          <w:rFonts w:ascii="Arial" w:cs="Arial" w:eastAsia="Arial" w:hAnsi="Arial"/>
          <w:b/>
          <w:bCs/>
          <w:sz w:val="22"/>
          <w:szCs w:val="22"/>
        </w:rPr>
        <w:t xml:space="preserve">(5) </w:t>
      </w:r>
      <w:r>
        <w:rPr>
          <w:rFonts w:ascii="Georgia" w:cs="Georgia" w:eastAsia="Georgia" w:hAnsi="Georgia"/>
          <w:sz w:val="22"/>
          <w:szCs w:val="22"/>
        </w:rPr>
        <w:t xml:space="preserve">Whether the covered AI system is provided free of charge or through a paid subscription.</w:t>
      </w:r>
    </w:p>
    <w:p>
      <w:pPr>
        <w:spacing w:after="80"/>
      </w:pPr>
      <w:r>
        <w:t xml:space="preserve"/>
      </w:r>
    </w:p>
    <w:p>
      <w:pPr>
        <w:spacing w:after="80" w:before="200"/>
        <w:ind w:left="720"/>
      </w:pPr>
      <w:r>
        <w:rPr>
          <w:rFonts w:ascii="Arial" w:cs="Arial" w:eastAsia="Arial" w:hAnsi="Arial"/>
          <w:b/>
          <w:bCs/>
          <w:sz w:val="22"/>
          <w:szCs w:val="22"/>
        </w:rPr>
        <w:t xml:space="preserve">(b) Prohibition on Real-Time Targeting Using Intimate Data.</w:t>
      </w:r>
    </w:p>
    <w:p>
      <w:pPr>
        <w:spacing w:after="120"/>
      </w:pPr>
      <w:r>
        <w:rPr>
          <w:rFonts w:ascii="Georgia" w:cs="Georgia" w:eastAsia="Georgia" w:hAnsi="Georgia"/>
          <w:sz w:val="22"/>
          <w:szCs w:val="22"/>
        </w:rPr>
        <w:t xml:space="preserve">No operator or developer of a covered AI system shall use intimate data for real-time targeting purposes in connection with any synthesized output, regardless of whether the interaction is a high-stakes AI interaction. Intimate data collected through a covered AI system may not be made available to third parties for advertising, targeting, or commercial profiling purposes under any circumstances.</w:t>
      </w:r>
    </w:p>
    <w:p>
      <w:pPr>
        <w:spacing w:after="80" w:before="200"/>
        <w:ind w:left="720"/>
      </w:pPr>
      <w:r>
        <w:rPr>
          <w:rFonts w:ascii="Arial" w:cs="Arial" w:eastAsia="Arial" w:hAnsi="Arial"/>
          <w:b/>
          <w:bCs/>
          <w:sz w:val="22"/>
          <w:szCs w:val="22"/>
        </w:rPr>
        <w:t xml:space="preserve">(c) Prohibition on Undisclosed Reasoning Layer Monetization Outside High-Stakes Contexts.</w:t>
      </w:r>
    </w:p>
    <w:p>
      <w:pPr>
        <w:spacing w:after="120"/>
      </w:pPr>
      <w:r>
        <w:rPr>
          <w:rFonts w:ascii="Georgia" w:cs="Georgia" w:eastAsia="Georgia" w:hAnsi="Georgia"/>
          <w:sz w:val="22"/>
          <w:szCs w:val="22"/>
        </w:rPr>
        <w:t xml:space="preserve">Outside of high-stakes AI interactions, reasoning layer monetization is prohibited unless the operator provides commercial disclosure prior to delivery of any influenced synthesized output. Disclosure in a terms of service agreement, privacy policy, or other document not presented contemporaneously with the influenced output does not satisfy this requirement.</w:t>
      </w:r>
    </w:p>
    <w:p>
      <w:pPr>
        <w:spacing w:after="80" w:before="200"/>
        <w:ind w:left="720"/>
      </w:pPr>
      <w:r>
        <w:rPr>
          <w:rFonts w:ascii="Arial" w:cs="Arial" w:eastAsia="Arial" w:hAnsi="Arial"/>
          <w:b/>
          <w:bCs/>
          <w:sz w:val="22"/>
          <w:szCs w:val="22"/>
        </w:rPr>
        <w:t xml:space="preserve">(d) Prohibition on Structural Evasion.</w:t>
      </w:r>
    </w:p>
    <w:p>
      <w:pPr>
        <w:spacing w:after="120"/>
      </w:pPr>
      <w:r>
        <w:rPr>
          <w:rFonts w:ascii="Georgia" w:cs="Georgia" w:eastAsia="Georgia" w:hAnsi="Georgia"/>
          <w:sz w:val="22"/>
          <w:szCs w:val="22"/>
        </w:rPr>
        <w:t xml:space="preserve">No operator or developer shall structure commercial relationships, corporate entities, contractual arrangements, or technical architectures for the purpose of evading the requirements of this section. A commercial relationship that influences a synthesized output through an intermediary shall be treated as direct reasoning layer monetization for all purposes under this Act.</w:t>
      </w:r>
    </w:p>
    <w:p>
      <w:pPr>
        <w:spacing w:after="120" w:before="360"/>
      </w:pPr>
      <w:r>
        <w:rPr>
          <w:rFonts w:ascii="Arial" w:cs="Arial" w:eastAsia="Arial" w:hAnsi="Arial"/>
          <w:b/>
          <w:bCs/>
          <w:sz w:val="24"/>
          <w:szCs w:val="24"/>
        </w:rPr>
        <w:t xml:space="preserve">Section 5. Disclosure Requirements for Permitted Commercial AI</w:t>
      </w:r>
    </w:p>
    <w:p>
      <w:pPr>
        <w:spacing w:after="80" w:before="200"/>
        <w:ind w:left="720"/>
      </w:pPr>
      <w:r>
        <w:rPr>
          <w:rFonts w:ascii="Arial" w:cs="Arial" w:eastAsia="Arial" w:hAnsi="Arial"/>
          <w:b/>
          <w:bCs/>
          <w:sz w:val="22"/>
          <w:szCs w:val="22"/>
        </w:rPr>
        <w:t xml:space="preserve">(a) Required Disclosure Elements.</w:t>
      </w:r>
    </w:p>
    <w:p>
      <w:pPr>
        <w:spacing w:after="120"/>
      </w:pPr>
      <w:r>
        <w:rPr>
          <w:rFonts w:ascii="Georgia" w:cs="Georgia" w:eastAsia="Georgia" w:hAnsi="Georgia"/>
          <w:sz w:val="22"/>
          <w:szCs w:val="22"/>
        </w:rPr>
        <w:t xml:space="preserve">Where reasoning layer monetization is permitted under Section 4(c), commercial disclosure shall include:</w:t>
      </w:r>
    </w:p>
    <w:p>
      <w:pPr>
        <w:spacing w:after="100"/>
        <w:ind w:left="1080"/>
      </w:pPr>
      <w:r>
        <w:rPr>
          <w:rFonts w:ascii="Arial" w:cs="Arial" w:eastAsia="Arial" w:hAnsi="Arial"/>
          <w:b/>
          <w:bCs/>
          <w:sz w:val="22"/>
          <w:szCs w:val="22"/>
        </w:rPr>
        <w:t xml:space="preserve">(1) </w:t>
      </w:r>
      <w:r>
        <w:rPr>
          <w:rFonts w:ascii="Georgia" w:cs="Georgia" w:eastAsia="Georgia" w:hAnsi="Georgia"/>
          <w:sz w:val="22"/>
          <w:szCs w:val="22"/>
        </w:rPr>
        <w:t xml:space="preserve">The identity of the party or parties providing commercial consideration;</w:t>
      </w:r>
    </w:p>
    <w:p>
      <w:pPr>
        <w:spacing w:after="100"/>
        <w:ind w:left="1080"/>
      </w:pPr>
      <w:r>
        <w:rPr>
          <w:rFonts w:ascii="Arial" w:cs="Arial" w:eastAsia="Arial" w:hAnsi="Arial"/>
          <w:b/>
          <w:bCs/>
          <w:sz w:val="22"/>
          <w:szCs w:val="22"/>
        </w:rPr>
        <w:t xml:space="preserve">(2) </w:t>
      </w:r>
      <w:r>
        <w:rPr>
          <w:rFonts w:ascii="Georgia" w:cs="Georgia" w:eastAsia="Georgia" w:hAnsi="Georgia"/>
          <w:sz w:val="22"/>
          <w:szCs w:val="22"/>
        </w:rPr>
        <w:t xml:space="preserve">The category of influence — whether the consideration shapes topic selection, product or service recommendation, factual framing, or emphasis — without requiring disclosure of proprietary technical details;</w:t>
      </w:r>
    </w:p>
    <w:p>
      <w:pPr>
        <w:spacing w:after="100"/>
        <w:ind w:left="1080"/>
      </w:pPr>
      <w:r>
        <w:rPr>
          <w:rFonts w:ascii="Arial" w:cs="Arial" w:eastAsia="Arial" w:hAnsi="Arial"/>
          <w:b/>
          <w:bCs/>
          <w:sz w:val="22"/>
          <w:szCs w:val="22"/>
        </w:rPr>
        <w:t xml:space="preserve">(3) </w:t>
      </w:r>
      <w:r>
        <w:rPr>
          <w:rFonts w:ascii="Georgia" w:cs="Georgia" w:eastAsia="Georgia" w:hAnsi="Georgia"/>
          <w:sz w:val="22"/>
          <w:szCs w:val="22"/>
        </w:rPr>
        <w:t xml:space="preserve">A plain-language statement that the response the user is about to receive has been influenced by a paid commercial relationship; and</w:t>
      </w:r>
    </w:p>
    <w:p>
      <w:pPr>
        <w:spacing w:after="100"/>
        <w:ind w:left="1080"/>
      </w:pPr>
      <w:r>
        <w:rPr>
          <w:rFonts w:ascii="Arial" w:cs="Arial" w:eastAsia="Arial" w:hAnsi="Arial"/>
          <w:b/>
          <w:bCs/>
          <w:sz w:val="22"/>
          <w:szCs w:val="22"/>
        </w:rPr>
        <w:t xml:space="preserve">(4) </w:t>
      </w:r>
      <w:r>
        <w:rPr>
          <w:rFonts w:ascii="Georgia" w:cs="Georgia" w:eastAsia="Georgia" w:hAnsi="Georgia"/>
          <w:sz w:val="22"/>
          <w:szCs w:val="22"/>
        </w:rPr>
        <w:t xml:space="preserve">A mechanism by which the user may request an uninfluenced response, or may opt out of commercially influenced responses entirely.</w:t>
      </w:r>
    </w:p>
    <w:p>
      <w:pPr>
        <w:spacing w:after="80"/>
      </w:pPr>
      <w:r>
        <w:t xml:space="preserve"/>
      </w:r>
    </w:p>
    <w:p>
      <w:pPr>
        <w:spacing w:after="80" w:before="200"/>
        <w:ind w:left="720"/>
      </w:pPr>
      <w:r>
        <w:rPr>
          <w:rFonts w:ascii="Arial" w:cs="Arial" w:eastAsia="Arial" w:hAnsi="Arial"/>
          <w:b/>
          <w:bCs/>
          <w:sz w:val="22"/>
          <w:szCs w:val="22"/>
        </w:rPr>
        <w:t xml:space="preserve">(b) Format Requirements.</w:t>
      </w:r>
    </w:p>
    <w:p>
      <w:pPr>
        <w:spacing w:after="120"/>
      </w:pPr>
      <w:r>
        <w:rPr>
          <w:rFonts w:ascii="Georgia" w:cs="Georgia" w:eastAsia="Georgia" w:hAnsi="Georgia"/>
          <w:sz w:val="22"/>
          <w:szCs w:val="22"/>
        </w:rPr>
        <w:t xml:space="preserve">Commercial disclosure shall be:</w:t>
      </w:r>
    </w:p>
    <w:p>
      <w:pPr>
        <w:spacing w:after="100"/>
        <w:ind w:left="1080"/>
      </w:pPr>
      <w:r>
        <w:rPr>
          <w:rFonts w:ascii="Arial" w:cs="Arial" w:eastAsia="Arial" w:hAnsi="Arial"/>
          <w:b/>
          <w:bCs/>
          <w:sz w:val="22"/>
          <w:szCs w:val="22"/>
        </w:rPr>
        <w:t xml:space="preserve">(1) </w:t>
      </w:r>
      <w:r>
        <w:rPr>
          <w:rFonts w:ascii="Georgia" w:cs="Georgia" w:eastAsia="Georgia" w:hAnsi="Georgia"/>
          <w:sz w:val="22"/>
          <w:szCs w:val="22"/>
        </w:rPr>
        <w:t xml:space="preserve">Presented in the same interface through which the synthesized output is delivered;</w:t>
      </w:r>
    </w:p>
    <w:p>
      <w:pPr>
        <w:spacing w:after="100"/>
        <w:ind w:left="1080"/>
      </w:pPr>
      <w:r>
        <w:rPr>
          <w:rFonts w:ascii="Arial" w:cs="Arial" w:eastAsia="Arial" w:hAnsi="Arial"/>
          <w:b/>
          <w:bCs/>
          <w:sz w:val="22"/>
          <w:szCs w:val="22"/>
        </w:rPr>
        <w:t xml:space="preserve">(2) </w:t>
      </w:r>
      <w:r>
        <w:rPr>
          <w:rFonts w:ascii="Georgia" w:cs="Georgia" w:eastAsia="Georgia" w:hAnsi="Georgia"/>
          <w:sz w:val="22"/>
          <w:szCs w:val="22"/>
        </w:rPr>
        <w:t xml:space="preserve">Displayed before the influenced output is presented to the user, not after;</w:t>
      </w:r>
    </w:p>
    <w:p>
      <w:pPr>
        <w:spacing w:after="100"/>
        <w:ind w:left="1080"/>
      </w:pPr>
      <w:r>
        <w:rPr>
          <w:rFonts w:ascii="Arial" w:cs="Arial" w:eastAsia="Arial" w:hAnsi="Arial"/>
          <w:b/>
          <w:bCs/>
          <w:sz w:val="22"/>
          <w:szCs w:val="22"/>
        </w:rPr>
        <w:t xml:space="preserve">(3) </w:t>
      </w:r>
      <w:r>
        <w:rPr>
          <w:rFonts w:ascii="Georgia" w:cs="Georgia" w:eastAsia="Georgia" w:hAnsi="Georgia"/>
          <w:sz w:val="22"/>
          <w:szCs w:val="22"/>
        </w:rPr>
        <w:t xml:space="preserve">In plain language accessible to a person with a sixth-grade reading level;</w:t>
      </w:r>
    </w:p>
    <w:p>
      <w:pPr>
        <w:spacing w:after="100"/>
        <w:ind w:left="1080"/>
      </w:pPr>
      <w:r>
        <w:rPr>
          <w:rFonts w:ascii="Arial" w:cs="Arial" w:eastAsia="Arial" w:hAnsi="Arial"/>
          <w:b/>
          <w:bCs/>
          <w:sz w:val="22"/>
          <w:szCs w:val="22"/>
        </w:rPr>
        <w:t xml:space="preserve">(4) </w:t>
      </w:r>
      <w:r>
        <w:rPr>
          <w:rFonts w:ascii="Georgia" w:cs="Georgia" w:eastAsia="Georgia" w:hAnsi="Georgia"/>
          <w:sz w:val="22"/>
          <w:szCs w:val="22"/>
        </w:rPr>
        <w:t xml:space="preserve">In a font size and visual format no less prominent than the synthesized output itself; and</w:t>
      </w:r>
    </w:p>
    <w:p>
      <w:pPr>
        <w:spacing w:after="100"/>
        <w:ind w:left="1080"/>
      </w:pPr>
      <w:r>
        <w:rPr>
          <w:rFonts w:ascii="Arial" w:cs="Arial" w:eastAsia="Arial" w:hAnsi="Arial"/>
          <w:b/>
          <w:bCs/>
          <w:sz w:val="22"/>
          <w:szCs w:val="22"/>
        </w:rPr>
        <w:t xml:space="preserve">(5) </w:t>
      </w:r>
      <w:r>
        <w:rPr>
          <w:rFonts w:ascii="Georgia" w:cs="Georgia" w:eastAsia="Georgia" w:hAnsi="Georgia"/>
          <w:sz w:val="22"/>
          <w:szCs w:val="22"/>
        </w:rPr>
        <w:t xml:space="preserve">Machine-readable in a standardized format established by the Federal Trade Commission within 180 days of enactment.</w:t>
      </w:r>
    </w:p>
    <w:p>
      <w:pPr>
        <w:spacing w:after="120" w:before="360"/>
      </w:pPr>
      <w:r>
        <w:rPr>
          <w:rFonts w:ascii="Arial" w:cs="Arial" w:eastAsia="Arial" w:hAnsi="Arial"/>
          <w:b/>
          <w:bCs/>
          <w:sz w:val="24"/>
          <w:szCs w:val="24"/>
        </w:rPr>
        <w:t xml:space="preserve">Section 6. Regulatory Authority</w:t>
      </w:r>
    </w:p>
    <w:p>
      <w:pPr>
        <w:spacing w:after="80" w:before="200"/>
        <w:ind w:left="720"/>
      </w:pPr>
      <w:r>
        <w:rPr>
          <w:rFonts w:ascii="Arial" w:cs="Arial" w:eastAsia="Arial" w:hAnsi="Arial"/>
          <w:b/>
          <w:bCs/>
          <w:sz w:val="22"/>
          <w:szCs w:val="22"/>
        </w:rPr>
        <w:t xml:space="preserve">(a) Federal Trade Commission.</w:t>
      </w:r>
    </w:p>
    <w:p>
      <w:pPr>
        <w:spacing w:after="120"/>
      </w:pPr>
      <w:r>
        <w:rPr>
          <w:rFonts w:ascii="Georgia" w:cs="Georgia" w:eastAsia="Georgia" w:hAnsi="Georgia"/>
          <w:sz w:val="22"/>
          <w:szCs w:val="22"/>
        </w:rPr>
        <w:t xml:space="preserve">The Federal Trade Commission shall have primary enforcement authority over reasoning layer monetization in covered AI systems deployed for general consumer purposes. The Commission shall promulgate rules defining “commercial consideration” and “reasonably foreseeable effect” within 180 days of enactment.</w:t>
      </w:r>
    </w:p>
    <w:p>
      <w:pPr>
        <w:spacing w:after="80" w:before="200"/>
        <w:ind w:left="720"/>
      </w:pPr>
      <w:r>
        <w:rPr>
          <w:rFonts w:ascii="Arial" w:cs="Arial" w:eastAsia="Arial" w:hAnsi="Arial"/>
          <w:b/>
          <w:bCs/>
          <w:sz w:val="22"/>
          <w:szCs w:val="22"/>
        </w:rPr>
        <w:t xml:space="preserve">(b) Food and Drug Administration.</w:t>
      </w:r>
    </w:p>
    <w:p>
      <w:pPr>
        <w:spacing w:after="120"/>
      </w:pPr>
      <w:r>
        <w:rPr>
          <w:rFonts w:ascii="Georgia" w:cs="Georgia" w:eastAsia="Georgia" w:hAnsi="Georgia"/>
          <w:sz w:val="22"/>
          <w:szCs w:val="22"/>
        </w:rPr>
        <w:t xml:space="preserve">The Food and Drug Administration shall have concurrent enforcement authority over reasoning layer monetization in covered AI systems deployed for medical diagnosis, treatment recommendation, or any other function regulated under the Federal Food, Drug, and Cosmetic Act.</w:t>
      </w:r>
    </w:p>
    <w:p>
      <w:pPr>
        <w:spacing w:after="80" w:before="200"/>
        <w:ind w:left="720"/>
      </w:pPr>
      <w:r>
        <w:rPr>
          <w:rFonts w:ascii="Arial" w:cs="Arial" w:eastAsia="Arial" w:hAnsi="Arial"/>
          <w:b/>
          <w:bCs/>
          <w:sz w:val="22"/>
          <w:szCs w:val="22"/>
        </w:rPr>
        <w:t xml:space="preserve">(c) State Bars and Licensing Boards.</w:t>
      </w:r>
    </w:p>
    <w:p>
      <w:pPr>
        <w:spacing w:after="120"/>
      </w:pPr>
      <w:r>
        <w:rPr>
          <w:rFonts w:ascii="Georgia" w:cs="Georgia" w:eastAsia="Georgia" w:hAnsi="Georgia"/>
          <w:sz w:val="22"/>
          <w:szCs w:val="22"/>
        </w:rPr>
        <w:t xml:space="preserve">State bar associations and professional licensing boards retain full authority to establish and enforce standards for covered AI systems deployed to provide services within their licensed professions, provided that such standards are no less protective than the requirements of this Act.</w:t>
      </w:r>
    </w:p>
    <w:p>
      <w:pPr>
        <w:spacing w:after="80" w:before="200"/>
        <w:ind w:left="720"/>
      </w:pPr>
      <w:r>
        <w:rPr>
          <w:rFonts w:ascii="Arial" w:cs="Arial" w:eastAsia="Arial" w:hAnsi="Arial"/>
          <w:b/>
          <w:bCs/>
          <w:sz w:val="22"/>
          <w:szCs w:val="22"/>
        </w:rPr>
        <w:t xml:space="preserve">(d) State Authority.</w:t>
      </w:r>
    </w:p>
    <w:p>
      <w:pPr>
        <w:spacing w:after="120"/>
      </w:pPr>
      <w:r>
        <w:rPr>
          <w:rFonts w:ascii="Georgia" w:cs="Georgia" w:eastAsia="Georgia" w:hAnsi="Georgia"/>
          <w:sz w:val="22"/>
          <w:szCs w:val="22"/>
        </w:rPr>
        <w:t xml:space="preserve">Nothing in this Act shall be construed to preempt any state law that provides greater protection to consumers against reasoning layer monetization or misuse of intimate data. This Act establishes a floor, not a ceiling.</w:t>
      </w:r>
    </w:p>
    <w:p>
      <w:pPr>
        <w:spacing w:after="120" w:before="360"/>
      </w:pPr>
      <w:r>
        <w:rPr>
          <w:rFonts w:ascii="Arial" w:cs="Arial" w:eastAsia="Arial" w:hAnsi="Arial"/>
          <w:b/>
          <w:bCs/>
          <w:sz w:val="24"/>
          <w:szCs w:val="24"/>
        </w:rPr>
        <w:t xml:space="preserve">Section 7. Enforcement</w:t>
      </w:r>
    </w:p>
    <w:p>
      <w:pPr>
        <w:spacing w:after="80" w:before="200"/>
        <w:ind w:left="720"/>
      </w:pPr>
      <w:r>
        <w:rPr>
          <w:rFonts w:ascii="Arial" w:cs="Arial" w:eastAsia="Arial" w:hAnsi="Arial"/>
          <w:b/>
          <w:bCs/>
          <w:sz w:val="22"/>
          <w:szCs w:val="22"/>
        </w:rPr>
        <w:t xml:space="preserve">(a) Federal Agency Enforcement.</w:t>
      </w:r>
    </w:p>
    <w:p>
      <w:pPr>
        <w:spacing w:after="120"/>
      </w:pPr>
      <w:r>
        <w:rPr>
          <w:rFonts w:ascii="Georgia" w:cs="Georgia" w:eastAsia="Georgia" w:hAnsi="Georgia"/>
          <w:sz w:val="22"/>
          <w:szCs w:val="22"/>
        </w:rPr>
        <w:t xml:space="preserve">A violation of this Act shall be treated as a violation of a rule under Section 18(a)(1)(B) of the Federal Trade Commission Act (15 U.S.C. 57a(a)(1)(B)) with respect to unfair or deceptive acts or practices. Each instance in which a user receives a commercially influenced synthesized output in violation of this Act constitutes a separate violation.</w:t>
      </w:r>
    </w:p>
    <w:p>
      <w:pPr>
        <w:spacing w:after="80" w:before="200"/>
        <w:ind w:left="720"/>
      </w:pPr>
      <w:r>
        <w:rPr>
          <w:rFonts w:ascii="Arial" w:cs="Arial" w:eastAsia="Arial" w:hAnsi="Arial"/>
          <w:b/>
          <w:bCs/>
          <w:sz w:val="22"/>
          <w:szCs w:val="22"/>
        </w:rPr>
        <w:t xml:space="preserve">(b) Civil Penalties.</w:t>
      </w:r>
    </w:p>
    <w:p>
      <w:pPr>
        <w:spacing w:after="120"/>
      </w:pPr>
      <w:r>
        <w:rPr>
          <w:rFonts w:ascii="Georgia" w:cs="Georgia" w:eastAsia="Georgia" w:hAnsi="Georgia"/>
          <w:sz w:val="22"/>
          <w:szCs w:val="22"/>
        </w:rPr>
        <w:t xml:space="preserve">Civil penalties for violation of this Act shall not exceed:</w:t>
      </w:r>
    </w:p>
    <w:p>
      <w:pPr>
        <w:spacing w:after="100"/>
        <w:ind w:left="1080"/>
      </w:pPr>
      <w:r>
        <w:rPr>
          <w:rFonts w:ascii="Arial" w:cs="Arial" w:eastAsia="Arial" w:hAnsi="Arial"/>
          <w:b/>
          <w:bCs/>
          <w:sz w:val="22"/>
          <w:szCs w:val="22"/>
        </w:rPr>
        <w:t xml:space="preserve">(1) </w:t>
      </w:r>
      <w:r>
        <w:rPr>
          <w:rFonts w:ascii="Georgia" w:cs="Georgia" w:eastAsia="Georgia" w:hAnsi="Georgia"/>
          <w:sz w:val="22"/>
          <w:szCs w:val="22"/>
        </w:rPr>
        <w:t xml:space="preserve">$50,000 per violation for operators with annual revenues under $100 million;</w:t>
      </w:r>
    </w:p>
    <w:p>
      <w:pPr>
        <w:spacing w:after="100"/>
        <w:ind w:left="1080"/>
      </w:pPr>
      <w:r>
        <w:rPr>
          <w:rFonts w:ascii="Arial" w:cs="Arial" w:eastAsia="Arial" w:hAnsi="Arial"/>
          <w:b/>
          <w:bCs/>
          <w:sz w:val="22"/>
          <w:szCs w:val="22"/>
        </w:rPr>
        <w:t xml:space="preserve">(2) </w:t>
      </w:r>
      <w:r>
        <w:rPr>
          <w:rFonts w:ascii="Georgia" w:cs="Georgia" w:eastAsia="Georgia" w:hAnsi="Georgia"/>
          <w:sz w:val="22"/>
          <w:szCs w:val="22"/>
        </w:rPr>
        <w:t xml:space="preserve">$250,000 per violation, or 4 percent of the operator’s prior-year global annual revenue, whichever is greater, for operators with annual revenues of $100 million or more.</w:t>
      </w:r>
    </w:p>
    <w:p>
      <w:pPr>
        <w:spacing w:after="80"/>
      </w:pPr>
      <w:r>
        <w:t xml:space="preserve"/>
      </w:r>
    </w:p>
    <w:p>
      <w:pPr>
        <w:spacing w:after="80" w:before="200"/>
        <w:ind w:left="720"/>
      </w:pPr>
      <w:r>
        <w:rPr>
          <w:rFonts w:ascii="Arial" w:cs="Arial" w:eastAsia="Arial" w:hAnsi="Arial"/>
          <w:b/>
          <w:bCs/>
          <w:sz w:val="22"/>
          <w:szCs w:val="22"/>
        </w:rPr>
        <w:t xml:space="preserve">(c) Criminal Penalties.</w:t>
      </w:r>
    </w:p>
    <w:p>
      <w:pPr>
        <w:spacing w:after="120"/>
      </w:pPr>
      <w:r>
        <w:rPr>
          <w:rFonts w:ascii="Georgia" w:cs="Georgia" w:eastAsia="Georgia" w:hAnsi="Georgia"/>
          <w:sz w:val="22"/>
          <w:szCs w:val="22"/>
        </w:rPr>
        <w:t xml:space="preserve">Any operator or developer who willfully engages in reasoning layer monetization in a high-stakes AI interaction shall be subject to criminal penalties of not more than $1,000,000 per violation, or imprisonment of not more than 10 years, or both. For purposes of this subsection, “willfully” means with knowledge that the conduct was unlawful, or with reckless disregard for whether the conduct was unlawful.</w:t>
      </w:r>
    </w:p>
    <w:p>
      <w:pPr>
        <w:spacing w:after="120" w:before="360"/>
      </w:pPr>
      <w:r>
        <w:rPr>
          <w:rFonts w:ascii="Arial" w:cs="Arial" w:eastAsia="Arial" w:hAnsi="Arial"/>
          <w:b/>
          <w:bCs/>
          <w:sz w:val="24"/>
          <w:szCs w:val="24"/>
        </w:rPr>
        <w:t xml:space="preserve">Section 8. Private Right of Action</w:t>
      </w:r>
    </w:p>
    <w:p>
      <w:pPr>
        <w:spacing w:after="80" w:before="200"/>
        <w:ind w:left="720"/>
      </w:pPr>
      <w:r>
        <w:rPr>
          <w:rFonts w:ascii="Arial" w:cs="Arial" w:eastAsia="Arial" w:hAnsi="Arial"/>
          <w:b/>
          <w:bCs/>
          <w:sz w:val="22"/>
          <w:szCs w:val="22"/>
        </w:rPr>
        <w:t xml:space="preserve">(a) Individual Action.</w:t>
      </w:r>
    </w:p>
    <w:p>
      <w:pPr>
        <w:spacing w:after="120"/>
      </w:pPr>
      <w:r>
        <w:rPr>
          <w:rFonts w:ascii="Georgia" w:cs="Georgia" w:eastAsia="Georgia" w:hAnsi="Georgia"/>
          <w:sz w:val="22"/>
          <w:szCs w:val="22"/>
        </w:rPr>
        <w:t xml:space="preserve">Any person who receives a synthesized output from a covered AI system in violation of this Act may bring a civil action in any court of competent jurisdiction and shall be entitled to:</w:t>
      </w:r>
    </w:p>
    <w:p>
      <w:pPr>
        <w:spacing w:after="100"/>
        <w:ind w:left="1080"/>
      </w:pPr>
      <w:r>
        <w:rPr>
          <w:rFonts w:ascii="Arial" w:cs="Arial" w:eastAsia="Arial" w:hAnsi="Arial"/>
          <w:b/>
          <w:bCs/>
          <w:sz w:val="22"/>
          <w:szCs w:val="22"/>
        </w:rPr>
        <w:t xml:space="preserve">(1) </w:t>
      </w:r>
      <w:r>
        <w:rPr>
          <w:rFonts w:ascii="Georgia" w:cs="Georgia" w:eastAsia="Georgia" w:hAnsi="Georgia"/>
          <w:sz w:val="22"/>
          <w:szCs w:val="22"/>
        </w:rPr>
        <w:t xml:space="preserve">Actual damages, or statutory damages of $10,000 per violation, whichever is greater;</w:t>
      </w:r>
    </w:p>
    <w:p>
      <w:pPr>
        <w:spacing w:after="100"/>
        <w:ind w:left="1080"/>
      </w:pPr>
      <w:r>
        <w:rPr>
          <w:rFonts w:ascii="Arial" w:cs="Arial" w:eastAsia="Arial" w:hAnsi="Arial"/>
          <w:b/>
          <w:bCs/>
          <w:sz w:val="22"/>
          <w:szCs w:val="22"/>
        </w:rPr>
        <w:t xml:space="preserve">(2) </w:t>
      </w:r>
      <w:r>
        <w:rPr>
          <w:rFonts w:ascii="Georgia" w:cs="Georgia" w:eastAsia="Georgia" w:hAnsi="Georgia"/>
          <w:sz w:val="22"/>
          <w:szCs w:val="22"/>
        </w:rPr>
        <w:t xml:space="preserve">Injunctive relief;</w:t>
      </w:r>
    </w:p>
    <w:p>
      <w:pPr>
        <w:spacing w:after="100"/>
        <w:ind w:left="1080"/>
      </w:pPr>
      <w:r>
        <w:rPr>
          <w:rFonts w:ascii="Arial" w:cs="Arial" w:eastAsia="Arial" w:hAnsi="Arial"/>
          <w:b/>
          <w:bCs/>
          <w:sz w:val="22"/>
          <w:szCs w:val="22"/>
        </w:rPr>
        <w:t xml:space="preserve">(3) </w:t>
      </w:r>
      <w:r>
        <w:rPr>
          <w:rFonts w:ascii="Georgia" w:cs="Georgia" w:eastAsia="Georgia" w:hAnsi="Georgia"/>
          <w:sz w:val="22"/>
          <w:szCs w:val="22"/>
        </w:rPr>
        <w:t xml:space="preserve">Reasonable attorneys’ fees and costs; and</w:t>
      </w:r>
    </w:p>
    <w:p>
      <w:pPr>
        <w:spacing w:after="100"/>
        <w:ind w:left="1080"/>
      </w:pPr>
      <w:r>
        <w:rPr>
          <w:rFonts w:ascii="Arial" w:cs="Arial" w:eastAsia="Arial" w:hAnsi="Arial"/>
          <w:b/>
          <w:bCs/>
          <w:sz w:val="22"/>
          <w:szCs w:val="22"/>
        </w:rPr>
        <w:t xml:space="preserve">(4) </w:t>
      </w:r>
      <w:r>
        <w:rPr>
          <w:rFonts w:ascii="Georgia" w:cs="Georgia" w:eastAsia="Georgia" w:hAnsi="Georgia"/>
          <w:sz w:val="22"/>
          <w:szCs w:val="22"/>
        </w:rPr>
        <w:t xml:space="preserve">Such other relief as the court considers appropriate.</w:t>
      </w:r>
    </w:p>
    <w:p>
      <w:pPr>
        <w:spacing w:after="80"/>
      </w:pPr>
      <w:r>
        <w:t xml:space="preserve"/>
      </w:r>
    </w:p>
    <w:p>
      <w:pPr>
        <w:spacing w:after="80" w:before="200"/>
        <w:ind w:left="720"/>
      </w:pPr>
      <w:r>
        <w:rPr>
          <w:rFonts w:ascii="Arial" w:cs="Arial" w:eastAsia="Arial" w:hAnsi="Arial"/>
          <w:b/>
          <w:bCs/>
          <w:sz w:val="22"/>
          <w:szCs w:val="22"/>
        </w:rPr>
        <w:t xml:space="preserve">(b) Class Actions.</w:t>
      </w:r>
    </w:p>
    <w:p>
      <w:pPr>
        <w:spacing w:after="120"/>
      </w:pPr>
      <w:r>
        <w:rPr>
          <w:rFonts w:ascii="Georgia" w:cs="Georgia" w:eastAsia="Georgia" w:hAnsi="Georgia"/>
          <w:sz w:val="22"/>
          <w:szCs w:val="22"/>
        </w:rPr>
        <w:t xml:space="preserve">Actions under this section may be brought as class actions pursuant to Rule 23 of the Federal Rules of Civil Procedure. For purposes of class certification, common questions of law or fact shall be presumed to predominate over individual questions where the alleged violation concerns a systematic commercial practice applied to multiple users.</w:t>
      </w:r>
    </w:p>
    <w:p>
      <w:pPr>
        <w:spacing w:after="80" w:before="200"/>
        <w:ind w:left="720"/>
      </w:pPr>
      <w:r>
        <w:rPr>
          <w:rFonts w:ascii="Arial" w:cs="Arial" w:eastAsia="Arial" w:hAnsi="Arial"/>
          <w:b/>
          <w:bCs/>
          <w:sz w:val="22"/>
          <w:szCs w:val="22"/>
        </w:rPr>
        <w:t xml:space="preserve">(c) Statute of Limitations.</w:t>
      </w:r>
    </w:p>
    <w:p>
      <w:pPr>
        <w:spacing w:after="120"/>
      </w:pPr>
      <w:r>
        <w:rPr>
          <w:rFonts w:ascii="Georgia" w:cs="Georgia" w:eastAsia="Georgia" w:hAnsi="Georgia"/>
          <w:sz w:val="22"/>
          <w:szCs w:val="22"/>
        </w:rPr>
        <w:t xml:space="preserve">An action under this section must be brought within four years of the date on which the violation occurred, or within two years of the date on which the plaintiff discovered, or reasonably should have discovered, the violation, whichever is later.</w:t>
      </w:r>
    </w:p>
    <w:p>
      <w:pPr>
        <w:spacing w:after="80" w:before="200"/>
        <w:ind w:left="720"/>
      </w:pPr>
      <w:r>
        <w:rPr>
          <w:rFonts w:ascii="Arial" w:cs="Arial" w:eastAsia="Arial" w:hAnsi="Arial"/>
          <w:b/>
          <w:bCs/>
          <w:sz w:val="22"/>
          <w:szCs w:val="22"/>
        </w:rPr>
        <w:t xml:space="preserve">(d) No Waiver by Contract.</w:t>
      </w:r>
    </w:p>
    <w:p>
      <w:pPr>
        <w:spacing w:after="120"/>
      </w:pPr>
      <w:r>
        <w:rPr>
          <w:rFonts w:ascii="Georgia" w:cs="Georgia" w:eastAsia="Georgia" w:hAnsi="Georgia"/>
          <w:sz w:val="22"/>
          <w:szCs w:val="22"/>
        </w:rPr>
        <w:t xml:space="preserve">No terms of service agreement, arbitration clause, class action waiver, or other contractual provision shall be enforceable to waive, limit, or condition the rights established under this section.</w:t>
      </w:r>
    </w:p>
    <w:p>
      <w:pPr>
        <w:spacing w:after="120" w:before="360"/>
      </w:pPr>
      <w:r>
        <w:rPr>
          <w:rFonts w:ascii="Arial" w:cs="Arial" w:eastAsia="Arial" w:hAnsi="Arial"/>
          <w:b/>
          <w:bCs/>
          <w:sz w:val="24"/>
          <w:szCs w:val="24"/>
        </w:rPr>
        <w:t xml:space="preserve">Section 9. Mandatory Audit and Transparency</w:t>
      </w:r>
    </w:p>
    <w:p>
      <w:pPr>
        <w:spacing w:after="80" w:before="200"/>
        <w:ind w:left="720"/>
      </w:pPr>
      <w:r>
        <w:rPr>
          <w:rFonts w:ascii="Arial" w:cs="Arial" w:eastAsia="Arial" w:hAnsi="Arial"/>
          <w:b/>
          <w:bCs/>
          <w:sz w:val="22"/>
          <w:szCs w:val="22"/>
        </w:rPr>
        <w:t xml:space="preserve">(a) Annual Audit.</w:t>
      </w:r>
    </w:p>
    <w:p>
      <w:pPr>
        <w:spacing w:after="120"/>
      </w:pPr>
      <w:r>
        <w:rPr>
          <w:rFonts w:ascii="Georgia" w:cs="Georgia" w:eastAsia="Georgia" w:hAnsi="Georgia"/>
          <w:sz w:val="22"/>
          <w:szCs w:val="22"/>
        </w:rPr>
        <w:t xml:space="preserve">Any operator deploying a covered AI system in a high-stakes AI interaction shall commission an independent annual audit of its systems for compliance with this Act. Audit reports shall be filed with the Federal Trade Commission and shall be made publicly available within 30 days of filing.</w:t>
      </w:r>
    </w:p>
    <w:p>
      <w:pPr>
        <w:spacing w:after="80" w:before="200"/>
        <w:ind w:left="720"/>
      </w:pPr>
      <w:r>
        <w:rPr>
          <w:rFonts w:ascii="Arial" w:cs="Arial" w:eastAsia="Arial" w:hAnsi="Arial"/>
          <w:b/>
          <w:bCs/>
          <w:sz w:val="22"/>
          <w:szCs w:val="22"/>
        </w:rPr>
        <w:t xml:space="preserve">(b) Audit Standards.</w:t>
      </w:r>
    </w:p>
    <w:p>
      <w:pPr>
        <w:spacing w:after="120"/>
      </w:pPr>
      <w:r>
        <w:rPr>
          <w:rFonts w:ascii="Georgia" w:cs="Georgia" w:eastAsia="Georgia" w:hAnsi="Georgia"/>
          <w:sz w:val="22"/>
          <w:szCs w:val="22"/>
        </w:rPr>
        <w:t xml:space="preserve">The Federal Trade Commission shall establish audit standards within 180 days of enactment, in consultation with the Food and Drug Administration, the National Institute of Standards and Technology, and relevant professional licensing bodies.</w:t>
      </w:r>
    </w:p>
    <w:p>
      <w:pPr>
        <w:spacing w:after="80" w:before="200"/>
        <w:ind w:left="720"/>
      </w:pPr>
      <w:r>
        <w:rPr>
          <w:rFonts w:ascii="Arial" w:cs="Arial" w:eastAsia="Arial" w:hAnsi="Arial"/>
          <w:b/>
          <w:bCs/>
          <w:sz w:val="22"/>
          <w:szCs w:val="22"/>
        </w:rPr>
        <w:t xml:space="preserve">(c) Whistleblower Protection.</w:t>
      </w:r>
    </w:p>
    <w:p>
      <w:pPr>
        <w:spacing w:after="120"/>
      </w:pPr>
      <w:r>
        <w:rPr>
          <w:rFonts w:ascii="Georgia" w:cs="Georgia" w:eastAsia="Georgia" w:hAnsi="Georgia"/>
          <w:sz w:val="22"/>
          <w:szCs w:val="22"/>
        </w:rPr>
        <w:t xml:space="preserve">Any employee or contractor of an operator or developer who reports a potential violation of this Act to a federal or state agency shall be protected from retaliation under the same standards applicable to whistleblowers under the Sarbanes-Oxley Act of 2002.</w:t>
      </w:r>
    </w:p>
    <w:p>
      <w:pPr>
        <w:spacing w:after="120" w:before="360"/>
      </w:pPr>
      <w:r>
        <w:rPr>
          <w:rFonts w:ascii="Arial" w:cs="Arial" w:eastAsia="Arial" w:hAnsi="Arial"/>
          <w:b/>
          <w:bCs/>
          <w:sz w:val="24"/>
          <w:szCs w:val="24"/>
        </w:rPr>
        <w:t xml:space="preserve">Section 10. Safe Harbors</w:t>
      </w:r>
    </w:p>
    <w:p>
      <w:pPr>
        <w:spacing w:after="120"/>
      </w:pPr>
      <w:r>
        <w:rPr>
          <w:rFonts w:ascii="Georgia" w:cs="Georgia" w:eastAsia="Georgia" w:hAnsi="Georgia"/>
          <w:sz w:val="22"/>
          <w:szCs w:val="22"/>
        </w:rPr>
        <w:t xml:space="preserve">This Act shall not apply to:</w:t>
      </w:r>
    </w:p>
    <w:p>
      <w:pPr>
        <w:spacing w:after="100"/>
        <w:ind w:left="720"/>
      </w:pPr>
      <w:r>
        <w:rPr>
          <w:rFonts w:ascii="Arial" w:cs="Arial" w:eastAsia="Arial" w:hAnsi="Arial"/>
          <w:b/>
          <w:bCs/>
          <w:sz w:val="22"/>
          <w:szCs w:val="22"/>
        </w:rPr>
        <w:t xml:space="preserve">(1) </w:t>
      </w:r>
      <w:r>
        <w:rPr>
          <w:rFonts w:ascii="Georgia" w:cs="Georgia" w:eastAsia="Georgia" w:hAnsi="Georgia"/>
          <w:sz w:val="22"/>
          <w:szCs w:val="22"/>
        </w:rPr>
        <w:t xml:space="preserve">Covered AI systems operated exclusively for research or educational purposes with no commercial deployment to end users;</w:t>
      </w:r>
    </w:p>
    <w:p>
      <w:pPr>
        <w:spacing w:after="100"/>
        <w:ind w:left="720"/>
      </w:pPr>
      <w:r>
        <w:rPr>
          <w:rFonts w:ascii="Arial" w:cs="Arial" w:eastAsia="Arial" w:hAnsi="Arial"/>
          <w:b/>
          <w:bCs/>
          <w:sz w:val="22"/>
          <w:szCs w:val="22"/>
        </w:rPr>
        <w:t xml:space="preserve">(2) </w:t>
      </w:r>
      <w:r>
        <w:rPr>
          <w:rFonts w:ascii="Georgia" w:cs="Georgia" w:eastAsia="Georgia" w:hAnsi="Georgia"/>
          <w:sz w:val="22"/>
          <w:szCs w:val="22"/>
        </w:rPr>
        <w:t xml:space="preserve">Open-source models made freely available without commercial consideration, provided no operator deploying such models engages in reasoning layer monetization; or</w:t>
      </w:r>
    </w:p>
    <w:p>
      <w:pPr>
        <w:spacing w:after="100"/>
        <w:ind w:left="720"/>
      </w:pPr>
      <w:r>
        <w:rPr>
          <w:rFonts w:ascii="Arial" w:cs="Arial" w:eastAsia="Arial" w:hAnsi="Arial"/>
          <w:b/>
          <w:bCs/>
          <w:sz w:val="22"/>
          <w:szCs w:val="22"/>
        </w:rPr>
        <w:t xml:space="preserve">(3) </w:t>
      </w:r>
      <w:r>
        <w:rPr>
          <w:rFonts w:ascii="Georgia" w:cs="Georgia" w:eastAsia="Georgia" w:hAnsi="Georgia"/>
          <w:sz w:val="22"/>
          <w:szCs w:val="22"/>
        </w:rPr>
        <w:t xml:space="preserve">Operator-directed customization of a covered AI system for internal business use, where no synthesized output is delivered to a consumer in a consumer-facing context.</w:t>
      </w:r>
    </w:p>
    <w:p>
      <w:pPr>
        <w:spacing w:after="120" w:before="360"/>
      </w:pPr>
      <w:r>
        <w:rPr>
          <w:rFonts w:ascii="Arial" w:cs="Arial" w:eastAsia="Arial" w:hAnsi="Arial"/>
          <w:b/>
          <w:bCs/>
          <w:sz w:val="24"/>
          <w:szCs w:val="24"/>
        </w:rPr>
        <w:t xml:space="preserve">Section 11. Severability</w:t>
      </w:r>
    </w:p>
    <w:p>
      <w:pPr>
        <w:spacing w:after="120"/>
      </w:pPr>
      <w:r>
        <w:rPr>
          <w:rFonts w:ascii="Georgia" w:cs="Georgia" w:eastAsia="Georgia" w:hAnsi="Georgia"/>
          <w:sz w:val="22"/>
          <w:szCs w:val="22"/>
        </w:rPr>
        <w:t xml:space="preserve">If any provision of this Act or the application of such provision to any person or circumstance is held invalid, the remainder of this Act and the application of its provisions to other persons or circumstances shall not be affected.</w:t>
      </w:r>
    </w:p>
    <w:p>
      <w:pPr>
        <w:spacing w:after="120" w:before="360"/>
      </w:pPr>
      <w:r>
        <w:rPr>
          <w:rFonts w:ascii="Arial" w:cs="Arial" w:eastAsia="Arial" w:hAnsi="Arial"/>
          <w:b/>
          <w:bCs/>
          <w:sz w:val="24"/>
          <w:szCs w:val="24"/>
        </w:rPr>
        <w:t xml:space="preserve">Section 12. Effective Date</w:t>
      </w:r>
    </w:p>
    <w:p>
      <w:pPr>
        <w:spacing w:after="120"/>
      </w:pPr>
      <w:r>
        <w:rPr>
          <w:rFonts w:ascii="Georgia" w:cs="Georgia" w:eastAsia="Georgia" w:hAnsi="Georgia"/>
          <w:sz w:val="22"/>
          <w:szCs w:val="22"/>
        </w:rPr>
        <w:t xml:space="preserve">This Act shall take effect 180 days after the date of enactment, except that the criminal penalties established in Section 7(c) shall apply only to violations occurring after the date that is one year after enactment.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2026-04-08T23:23:00.065Z</dcterms:created>
  <dcterms:modified xsi:type="dcterms:W3CDTF">2026-04-08T23:23:00.065Z</dcterms:modified>
</cp:coreProperties>
</file>

<file path=docProps/custom.xml><?xml version="1.0" encoding="utf-8"?>
<Properties xmlns="http://schemas.openxmlformats.org/officeDocument/2006/custom-properties" xmlns:vt="http://schemas.openxmlformats.org/officeDocument/2006/docPropsVTypes"/>
</file>